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689" w:lineRule="exact" w:before="0"/>
        <w:ind w:left="103" w:right="0" w:firstLine="0"/>
        <w:jc w:val="left"/>
        <w:rPr>
          <w:rFonts w:ascii="Arial Unicode MS" w:hAnsi="Arial Unicode MS" w:cs="Arial Unicode MS" w:eastAsia="Arial Unicode MS" w:hint="default"/>
          <w:sz w:val="56"/>
          <w:szCs w:val="56"/>
        </w:rPr>
      </w:pPr>
      <w:r>
        <w:rPr>
          <w:rFonts w:ascii="Arial Unicode MS" w:hAnsi="Arial Unicode MS" w:cs="Arial Unicode MS" w:eastAsia="Arial Unicode MS" w:hint="default"/>
          <w:color w:val="231F20"/>
          <w:sz w:val="56"/>
          <w:szCs w:val="56"/>
        </w:rPr>
        <w:t>能源转型之三大关键驱动力</w:t>
      </w:r>
      <w:r>
        <w:rPr>
          <w:rFonts w:ascii="Arial Unicode MS" w:hAnsi="Arial Unicode MS" w:cs="Arial Unicode MS" w:eastAsia="Arial Unicode MS" w:hint="default"/>
          <w:sz w:val="56"/>
          <w:szCs w:val="56"/>
        </w:rPr>
      </w:r>
    </w:p>
    <w:p>
      <w:pPr>
        <w:spacing w:before="82"/>
        <w:ind w:left="103" w:right="0" w:firstLine="0"/>
        <w:jc w:val="left"/>
        <w:rPr>
          <w:rFonts w:ascii="Arial Unicode MS" w:hAnsi="Arial Unicode MS" w:cs="Arial Unicode MS" w:eastAsia="Arial Unicode MS" w:hint="default"/>
          <w:sz w:val="17"/>
          <w:szCs w:val="17"/>
        </w:rPr>
      </w:pPr>
      <w:r>
        <w:rPr>
          <w:rFonts w:ascii="Arial Unicode MS" w:hAnsi="Arial Unicode MS" w:cs="Arial Unicode MS" w:eastAsia="Arial Unicode MS" w:hint="default"/>
          <w:color w:val="231F20"/>
          <w:sz w:val="17"/>
          <w:szCs w:val="17"/>
        </w:rPr>
        <w:t>文 | 全球风能协会</w:t>
      </w:r>
      <w:r>
        <w:rPr>
          <w:rFonts w:ascii="Arial Unicode MS" w:hAnsi="Arial Unicode MS" w:cs="Arial Unicode MS" w:eastAsia="Arial Unicode MS" w:hint="default"/>
          <w:color w:val="231F20"/>
          <w:spacing w:val="44"/>
          <w:sz w:val="17"/>
          <w:szCs w:val="17"/>
        </w:rPr>
        <w:t> </w:t>
      </w:r>
      <w:r>
        <w:rPr>
          <w:rFonts w:ascii="Arial Unicode MS" w:hAnsi="Arial Unicode MS" w:cs="Arial Unicode MS" w:eastAsia="Arial Unicode MS" w:hint="default"/>
          <w:color w:val="231F20"/>
          <w:sz w:val="17"/>
          <w:szCs w:val="17"/>
        </w:rPr>
        <w:t>(GWEC)</w:t>
      </w:r>
      <w:r>
        <w:rPr>
          <w:rFonts w:ascii="Arial Unicode MS" w:hAnsi="Arial Unicode MS" w:cs="Arial Unicode MS" w:eastAsia="Arial Unicode MS" w:hint="default"/>
          <w:sz w:val="17"/>
          <w:szCs w:val="17"/>
        </w:rPr>
      </w: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Arial Unicode MS" w:hAnsi="Arial Unicode MS" w:cs="Arial Unicode MS" w:eastAsia="Arial Unicode MS" w:hint="default"/>
          <w:sz w:val="22"/>
          <w:szCs w:val="22"/>
        </w:rPr>
      </w:pPr>
    </w:p>
    <w:p>
      <w:pPr>
        <w:spacing w:after="0" w:line="240" w:lineRule="auto"/>
        <w:rPr>
          <w:rFonts w:ascii="Arial Unicode MS" w:hAnsi="Arial Unicode MS" w:cs="Arial Unicode MS" w:eastAsia="Arial Unicode MS" w:hint="default"/>
          <w:sz w:val="22"/>
          <w:szCs w:val="22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160"/>
          <w:pgMar w:header="868" w:footer="776" w:top="1240" w:bottom="980" w:left="860" w:right="920"/>
          <w:pgNumType w:start="34"/>
        </w:sectPr>
      </w:pPr>
    </w:p>
    <w:p>
      <w:pPr>
        <w:pStyle w:val="BodyText"/>
        <w:spacing w:line="289" w:lineRule="exact"/>
        <w:ind w:left="3885" w:right="-20"/>
        <w:jc w:val="left"/>
      </w:pPr>
      <w:r>
        <w:rPr/>
        <w:pict>
          <v:group style="position:absolute;margin-left:48.056999pt;margin-top:4.211329pt;width:157pt;height:365.7pt;mso-position-horizontal-relative:page;mso-position-vertical-relative:paragraph;z-index:1048" coordorigin="961,84" coordsize="3140,7314">
            <v:group style="position:absolute;left:964;top:245;width:3137;height:7153" coordorigin="964,245" coordsize="3137,7153">
              <v:shape style="position:absolute;left:964;top:245;width:3137;height:7153" coordorigin="964,245" coordsize="3137,7153" path="m964,7398l4101,7398,4101,245,964,245,964,7398xe" filled="true" fillcolor="#e2e3e4" stroked="false">
                <v:path arrowok="t"/>
                <v:fill type="solid"/>
              </v:shape>
            </v:group>
            <v:group style="position:absolute;left:961;top:84;width:3137;height:161" coordorigin="961,84" coordsize="3137,161">
              <v:shape style="position:absolute;left:961;top:84;width:3137;height:161" coordorigin="961,84" coordsize="3137,161" path="m961,245l4098,245,4098,84,961,84,961,245xe" filled="true" fillcolor="#007f3e" stroked="false">
                <v:path arrowok="t"/>
                <v:fill type="solid"/>
              </v:shape>
              <v:shape style="position:absolute;left:961;top:84;width:3140;height:731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 Unicode MS" w:hAnsi="Arial Unicode MS" w:cs="Arial Unicode MS" w:eastAsia="Arial Unicode MS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 Unicode MS" w:hAnsi="Arial Unicode MS" w:cs="Arial Unicode MS" w:eastAsia="Arial Unicode MS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 Unicode MS" w:hAnsi="Arial Unicode MS" w:cs="Arial Unicode MS" w:eastAsia="Arial Unicode MS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 Unicode MS" w:hAnsi="Arial Unicode MS" w:cs="Arial Unicode MS" w:eastAsia="Arial Unicode MS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 Unicode MS" w:hAnsi="Arial Unicode MS" w:cs="Arial Unicode MS" w:eastAsia="Arial Unicode MS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 Unicode MS" w:hAnsi="Arial Unicode MS" w:cs="Arial Unicode MS" w:eastAsia="Arial Unicode MS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 Unicode MS" w:hAnsi="Arial Unicode MS" w:cs="Arial Unicode MS" w:eastAsia="Arial Unicode MS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Arial Unicode MS" w:hAnsi="Arial Unicode MS" w:cs="Arial Unicode MS" w:eastAsia="Arial Unicode MS" w:hint="default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7" w:lineRule="auto" w:before="0"/>
                        <w:ind w:left="239" w:right="230" w:firstLine="396"/>
                        <w:jc w:val="both"/>
                        <w:rPr>
                          <w:rFonts w:ascii="Arial Unicode MS" w:hAnsi="Arial Unicode MS" w:cs="Arial Unicode MS" w:eastAsia="Arial Unicode MS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hAnsi="Arial Unicode MS" w:cs="Arial Unicode MS" w:eastAsia="Arial Unicode MS" w:hint="default"/>
                          <w:color w:val="007F3E"/>
                          <w:sz w:val="18"/>
                          <w:szCs w:val="18"/>
                        </w:rPr>
                        <w:t>2018年全球风能产业新装置 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007F3E"/>
                          <w:spacing w:val="-4"/>
                          <w:sz w:val="18"/>
                          <w:szCs w:val="18"/>
                        </w:rPr>
                        <w:t>容量达51.3GW(百万瓦)，较2017 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007F3E"/>
                          <w:spacing w:val="-4"/>
                          <w:sz w:val="18"/>
                          <w:szCs w:val="18"/>
                        </w:rPr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007F3E"/>
                          <w:sz w:val="18"/>
                          <w:szCs w:val="18"/>
                        </w:rPr>
                        <w:t>年略减4%，全球累计装置容量共 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007F3E"/>
                          <w:sz w:val="18"/>
                          <w:szCs w:val="18"/>
                        </w:rPr>
                        <w:t>591GW，为风能产业表现不错的 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007F3E"/>
                          <w:spacing w:val="-7"/>
                          <w:sz w:val="18"/>
                          <w:szCs w:val="18"/>
                        </w:rPr>
                        <w:t>一年。从2014年起市场更迭，每年 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007F3E"/>
                          <w:spacing w:val="-7"/>
                          <w:sz w:val="18"/>
                          <w:szCs w:val="18"/>
                        </w:rPr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007F3E"/>
                          <w:spacing w:val="-9"/>
                          <w:sz w:val="18"/>
                          <w:szCs w:val="18"/>
                        </w:rPr>
                        <w:t>全球新装置容量皆超越50GW。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</w:rPr>
        <w:t>51.3GW </w:t>
      </w:r>
      <w:r>
        <w:rPr>
          <w:color w:val="231F20"/>
          <w:spacing w:val="4"/>
        </w:rPr>
        <w:t> </w:t>
      </w:r>
      <w:r>
        <w:rPr>
          <w:color w:val="231F20"/>
        </w:rPr>
        <w:t>新装置容量中，有</w:t>
      </w:r>
      <w:r>
        <w:rPr/>
      </w:r>
    </w:p>
    <w:p>
      <w:pPr>
        <w:pStyle w:val="BodyText"/>
        <w:spacing w:line="247" w:lineRule="auto" w:before="8"/>
        <w:ind w:left="3525" w:right="-20"/>
        <w:jc w:val="left"/>
      </w:pPr>
      <w:r>
        <w:rPr>
          <w:color w:val="231F20"/>
        </w:rPr>
        <w:t>46.8GW  为陆上风力，较  2017  年减 少 4.3%。其中，中国与美国保持前两 大陆上风力市场之地位，各有 21.2GW 及 7.6GW 新装置量；欧洲则有 9GW 新装置量，年增 32%；新兴市场包括 非洲、中东、拉丁美洲及东南亚地区， 合计有 4.8GW 新装置量，年增 8%。 全球风能协会预期每年会有超过</w:t>
      </w:r>
      <w:r>
        <w:rPr>
          <w:color w:val="231F20"/>
          <w:spacing w:val="41"/>
        </w:rPr>
        <w:t> </w:t>
      </w:r>
      <w:r>
        <w:rPr>
          <w:color w:val="231F20"/>
        </w:rPr>
        <w:t>50GW</w:t>
      </w:r>
      <w:r>
        <w:rPr/>
      </w:r>
    </w:p>
    <w:p>
      <w:pPr>
        <w:pStyle w:val="BodyText"/>
        <w:spacing w:line="289" w:lineRule="exact"/>
        <w:ind w:left="258" w:right="101"/>
        <w:jc w:val="left"/>
      </w:pPr>
      <w:r>
        <w:rPr/>
        <w:br w:type="column"/>
      </w:r>
      <w:r>
        <w:rPr>
          <w:color w:val="231F20"/>
        </w:rPr>
        <w:t>陆上风力新装置至 2023</w:t>
      </w:r>
      <w:r>
        <w:rPr>
          <w:color w:val="231F20"/>
          <w:spacing w:val="20"/>
        </w:rPr>
        <w:t> </w:t>
      </w:r>
      <w:r>
        <w:rPr>
          <w:color w:val="231F20"/>
        </w:rPr>
        <w:t>年。</w:t>
      </w:r>
      <w:r>
        <w:rPr/>
      </w:r>
    </w:p>
    <w:p>
      <w:pPr>
        <w:pStyle w:val="BodyText"/>
        <w:spacing w:line="247" w:lineRule="auto" w:before="8"/>
        <w:ind w:left="258" w:right="101" w:firstLine="360"/>
        <w:jc w:val="left"/>
      </w:pPr>
      <w:r>
        <w:rPr>
          <w:color w:val="231F20"/>
        </w:rPr>
        <w:t>而离岸风力市场于 2018 年有 4.5GW 新装置量，较 2017 年持平。 离岸风力累计装置容量达 23GW，占 总量 4%。全球风能协会期望亚洲及北 美洲会有更多离岸风力设置，且每年有 6GW</w:t>
      </w:r>
      <w:r>
        <w:rPr>
          <w:color w:val="231F20"/>
          <w:spacing w:val="32"/>
        </w:rPr>
        <w:t> </w:t>
      </w:r>
      <w:r>
        <w:rPr>
          <w:color w:val="231F20"/>
        </w:rPr>
        <w:t>的新装置量。</w:t>
      </w:r>
      <w:r>
        <w:rPr/>
      </w:r>
    </w:p>
    <w:p>
      <w:pPr>
        <w:pStyle w:val="BodyText"/>
        <w:spacing w:line="247" w:lineRule="auto" w:before="1"/>
        <w:ind w:left="258" w:right="281" w:firstLine="360"/>
        <w:jc w:val="left"/>
      </w:pPr>
      <w:r>
        <w:rPr>
          <w:color w:val="231F20"/>
        </w:rPr>
        <w:t>市场动态持续发展，许多企业经 由收购相关产业或扩大服务范围来调</w:t>
      </w:r>
      <w:r>
        <w:rPr/>
      </w:r>
    </w:p>
    <w:p>
      <w:pPr>
        <w:spacing w:after="0" w:line="247" w:lineRule="auto"/>
        <w:jc w:val="left"/>
        <w:sectPr>
          <w:type w:val="continuous"/>
          <w:pgSz w:w="11910" w:h="16160"/>
          <w:pgMar w:top="1240" w:bottom="980" w:left="860" w:right="920"/>
          <w:cols w:num="2" w:equalWidth="0">
            <w:col w:w="6647" w:space="40"/>
            <w:col w:w="3443"/>
          </w:cols>
        </w:sect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/>
        <w:ind w:left="3618" w:right="0" w:firstLine="0"/>
        <w:rPr>
          <w:rFonts w:ascii="Arial Unicode MS" w:hAnsi="Arial Unicode MS" w:cs="Arial Unicode MS" w:eastAsia="Arial Unicode MS" w:hint="default"/>
          <w:sz w:val="20"/>
          <w:szCs w:val="20"/>
        </w:rPr>
      </w:pPr>
      <w:r>
        <w:rPr>
          <w:rFonts w:ascii="Arial Unicode MS" w:hAnsi="Arial Unicode MS" w:cs="Arial Unicode MS" w:eastAsia="Arial Unicode MS" w:hint="default"/>
          <w:sz w:val="20"/>
          <w:szCs w:val="20"/>
        </w:rPr>
        <w:drawing>
          <wp:inline distT="0" distB="0" distL="0" distR="0">
            <wp:extent cx="4001512" cy="237258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512" cy="237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 Unicode MS" w:eastAsia="Arial Unicode MS" w:hint="default"/>
          <w:sz w:val="20"/>
          <w:szCs w:val="20"/>
        </w:rPr>
      </w:r>
    </w:p>
    <w:p>
      <w:pPr>
        <w:spacing w:after="0" w:line="240" w:lineRule="auto"/>
        <w:rPr>
          <w:rFonts w:ascii="Arial Unicode MS" w:hAnsi="Arial Unicode MS" w:cs="Arial Unicode MS" w:eastAsia="Arial Unicode MS" w:hint="default"/>
          <w:sz w:val="20"/>
          <w:szCs w:val="20"/>
        </w:rPr>
        <w:sectPr>
          <w:type w:val="continuous"/>
          <w:pgSz w:w="11910" w:h="16160"/>
          <w:pgMar w:top="1240" w:bottom="980" w:left="860" w:right="920"/>
        </w:sect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Arial Unicode MS" w:hAnsi="Arial Unicode MS" w:cs="Arial Unicode MS" w:eastAsia="Arial Unicode MS" w:hint="default"/>
          <w:sz w:val="26"/>
          <w:szCs w:val="26"/>
        </w:rPr>
      </w:pPr>
    </w:p>
    <w:p>
      <w:pPr>
        <w:spacing w:line="36" w:lineRule="exact"/>
        <w:ind w:left="105" w:right="0" w:firstLine="0"/>
        <w:rPr>
          <w:rFonts w:ascii="Arial Unicode MS" w:hAnsi="Arial Unicode MS" w:cs="Arial Unicode MS" w:eastAsia="Arial Unicode MS" w:hint="default"/>
          <w:sz w:val="3"/>
          <w:szCs w:val="3"/>
        </w:rPr>
      </w:pPr>
      <w:r>
        <w:rPr>
          <w:rFonts w:ascii="Arial Unicode MS" w:hAnsi="Arial Unicode MS" w:cs="Arial Unicode MS" w:eastAsia="Arial Unicode MS" w:hint="default"/>
          <w:position w:val="0"/>
          <w:sz w:val="3"/>
          <w:szCs w:val="3"/>
        </w:rPr>
        <w:pict>
          <v:group style="width:500.7pt;height:1.8pt;mso-position-horizontal-relative:char;mso-position-vertical-relative:line" coordorigin="0,0" coordsize="10014,36">
            <v:group style="position:absolute;left:18;top:18;width:2495;height:2" coordorigin="18,18" coordsize="2495,2">
              <v:shape style="position:absolute;left:18;top:18;width:2495;height:2" coordorigin="18,18" coordsize="2495,0" path="m18,18l2512,18e" filled="false" stroked="true" strokeweight="1.754pt" strokecolor="#007f3e">
                <v:path arrowok="t"/>
              </v:shape>
            </v:group>
            <v:group style="position:absolute;left:2512;top:18;width:3742;height:2" coordorigin="2512,18" coordsize="3742,2">
              <v:shape style="position:absolute;left:2512;top:18;width:3742;height:2" coordorigin="2512,18" coordsize="3742,0" path="m2512,18l6254,18e" filled="false" stroked="true" strokeweight="1.754pt" strokecolor="#007f3e">
                <v:path arrowok="t"/>
              </v:shape>
            </v:group>
            <v:group style="position:absolute;left:6254;top:18;width:3742;height:2" coordorigin="6254,18" coordsize="3742,2">
              <v:shape style="position:absolute;left:6254;top:18;width:3742;height:2" coordorigin="6254,18" coordsize="3742,0" path="m6254,18l9996,18e" filled="false" stroked="true" strokeweight="1.754pt" strokecolor="#007f3e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 w:hint="default"/>
          <w:position w:val="0"/>
          <w:sz w:val="3"/>
          <w:szCs w:val="3"/>
        </w:rPr>
      </w:r>
    </w:p>
    <w:p>
      <w:pPr>
        <w:pStyle w:val="Heading2"/>
        <w:spacing w:line="297" w:lineRule="exact"/>
        <w:ind w:right="0"/>
        <w:jc w:val="left"/>
      </w:pPr>
      <w:r>
        <w:rPr>
          <w:color w:val="007F3E"/>
        </w:rPr>
        <w:t>表 1  </w:t>
      </w:r>
      <w:r>
        <w:rPr>
          <w:color w:val="007F3E"/>
          <w:spacing w:val="11"/>
        </w:rPr>
        <w:t> </w:t>
      </w:r>
      <w:r>
        <w:rPr>
          <w:color w:val="007F3E"/>
        </w:rPr>
        <w:t>企业收购——成为发展中市场的成长动力</w:t>
      </w:r>
      <w:r>
        <w:rPr/>
      </w:r>
    </w:p>
    <w:p>
      <w:pPr>
        <w:spacing w:line="240" w:lineRule="auto" w:before="4"/>
        <w:ind w:right="0"/>
        <w:rPr>
          <w:rFonts w:ascii="Arial Unicode MS" w:hAnsi="Arial Unicode MS" w:cs="Arial Unicode MS" w:eastAsia="Arial Unicode MS" w:hint="default"/>
          <w:sz w:val="5"/>
          <w:szCs w:val="5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5"/>
        <w:gridCol w:w="3742"/>
        <w:gridCol w:w="3742"/>
      </w:tblGrid>
      <w:tr>
        <w:trPr>
          <w:trHeight w:val="409" w:hRule="exact"/>
        </w:trPr>
        <w:tc>
          <w:tcPr>
            <w:tcW w:w="2495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挑战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机会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409" w:hRule="exact"/>
        </w:trPr>
        <w:tc>
          <w:tcPr>
            <w:tcW w:w="2495" w:type="dxa"/>
            <w:vMerge w:val="restart"/>
            <w:tcBorders>
              <w:top w:val="single" w:sz="2" w:space="0" w:color="231F20"/>
              <w:left w:val="nil" w:sz="6" w:space="0" w:color="auto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Unicode MS" w:hAnsi="Arial Unicode MS" w:cs="Arial Unicode MS" w:eastAsia="Arial Unicode MS" w:hint="default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在发展中市场建立企业收购机制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3" w:lineRule="auto" w:before="4"/>
              <w:ind w:left="853" w:right="746" w:hanging="105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缺乏与发展中市场的当地经销商 建构企业 PPA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19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的经验与能力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于政府目标外，另开拓额外交易量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409" w:hRule="exact"/>
        </w:trPr>
        <w:tc>
          <w:tcPr>
            <w:tcW w:w="2495" w:type="dxa"/>
            <w:vMerge/>
            <w:tcBorders>
              <w:left w:val="nil" w:sz="6" w:space="0" w:color="auto"/>
              <w:right w:val="single" w:sz="2" w:space="0" w:color="231F20"/>
            </w:tcBorders>
          </w:tcPr>
          <w:p>
            <w:pPr/>
          </w:p>
        </w:tc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3" w:lineRule="auto" w:before="4"/>
              <w:ind w:left="668" w:right="611" w:hanging="56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缺乏投资者与银行为企业 PPA 融资 及评估发展中市场风险概况的经验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启动于电网及基础设施的进一步投资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409" w:hRule="exact"/>
        </w:trPr>
        <w:tc>
          <w:tcPr>
            <w:tcW w:w="2495" w:type="dxa"/>
            <w:vMerge/>
            <w:tcBorders>
              <w:left w:val="nil" w:sz="6" w:space="0" w:color="auto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163" w:lineRule="auto" w:before="4"/>
              <w:ind w:left="988" w:right="748" w:hanging="240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为自身在开发中市场的营运获得 安全的供应链及成本节省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409" w:hRule="exact"/>
        </w:trPr>
        <w:tc>
          <w:tcPr>
            <w:tcW w:w="2495" w:type="dxa"/>
            <w:vMerge w:val="restart"/>
            <w:tcBorders>
              <w:top w:val="single" w:sz="2" w:space="0" w:color="231F20"/>
              <w:left w:val="nil" w:sz="6" w:space="0" w:color="auto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 Unicode MS" w:hAnsi="Arial Unicode MS" w:cs="Arial Unicode MS" w:eastAsia="Arial Unicode MS" w:hint="default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小型 /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本地企业进入企业收购机制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辨认最适合的企业收购模式并了解风险概况之挑战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163" w:lineRule="auto" w:before="4"/>
              <w:ind w:left="588" w:right="588" w:firstLine="560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尽管公司规模较小， 有机会获得安全的供应链及成本节省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409" w:hRule="exact"/>
        </w:trPr>
        <w:tc>
          <w:tcPr>
            <w:tcW w:w="2495" w:type="dxa"/>
            <w:vMerge/>
            <w:tcBorders>
              <w:left w:val="nil" w:sz="6" w:space="0" w:color="auto"/>
              <w:bottom w:val="single" w:sz="7" w:space="0" w:color="007F3E"/>
              <w:right w:val="single" w:sz="2" w:space="0" w:color="231F20"/>
            </w:tcBorders>
          </w:tcPr>
          <w:p>
            <w:pPr/>
          </w:p>
        </w:tc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7" w:space="0" w:color="007F3E"/>
              <w:right w:val="single" w:sz="2" w:space="0" w:color="231F20"/>
            </w:tcBorders>
          </w:tcPr>
          <w:p>
            <w:pPr>
              <w:pStyle w:val="TableParagraph"/>
              <w:spacing w:line="163" w:lineRule="auto" w:before="4"/>
              <w:ind w:left="732" w:right="506" w:hanging="224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缺乏为微型企业提供产品方案的经验，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w w:val="105"/>
                <w:sz w:val="16"/>
                <w:szCs w:val="16"/>
              </w:rPr>
              <w:t>例如 PPA 组合 (bundling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37"/>
                <w:w w:val="105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w w:val="105"/>
                <w:sz w:val="16"/>
                <w:szCs w:val="16"/>
              </w:rPr>
              <w:t>PPA)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7" w:space="0" w:color="007F3E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规模化但复制大公司的企业收购模式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</w:tbl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16"/>
        <w:ind w:right="0"/>
        <w:rPr>
          <w:rFonts w:ascii="Arial Unicode MS" w:hAnsi="Arial Unicode MS" w:cs="Arial Unicode MS" w:eastAsia="Arial Unicode MS" w:hint="default"/>
          <w:sz w:val="12"/>
          <w:szCs w:val="12"/>
        </w:rPr>
      </w:pPr>
    </w:p>
    <w:p>
      <w:pPr>
        <w:spacing w:after="0" w:line="240" w:lineRule="auto"/>
        <w:rPr>
          <w:rFonts w:ascii="Arial Unicode MS" w:hAnsi="Arial Unicode MS" w:cs="Arial Unicode MS" w:eastAsia="Arial Unicode MS" w:hint="default"/>
          <w:sz w:val="12"/>
          <w:szCs w:val="12"/>
        </w:rPr>
        <w:sectPr>
          <w:pgSz w:w="11910" w:h="16160"/>
          <w:pgMar w:header="865" w:footer="793" w:top="1260" w:bottom="960" w:left="840" w:right="840"/>
        </w:sectPr>
      </w:pPr>
    </w:p>
    <w:p>
      <w:pPr>
        <w:pStyle w:val="BodyText"/>
        <w:spacing w:line="289" w:lineRule="exact"/>
        <w:ind w:right="-18"/>
        <w:jc w:val="left"/>
      </w:pPr>
      <w:r>
        <w:rPr>
          <w:color w:val="231F20"/>
        </w:rPr>
        <w:t>整其业务模式和策略。2018</w:t>
      </w:r>
      <w:r>
        <w:rPr>
          <w:color w:val="231F20"/>
          <w:spacing w:val="31"/>
        </w:rPr>
        <w:t> </w:t>
      </w:r>
      <w:r>
        <w:rPr>
          <w:color w:val="231F20"/>
        </w:rPr>
        <w:t>年企业收</w:t>
      </w:r>
      <w:r>
        <w:rPr/>
      </w:r>
    </w:p>
    <w:p>
      <w:pPr>
        <w:pStyle w:val="BodyText"/>
        <w:spacing w:line="247" w:lineRule="auto" w:before="8"/>
        <w:ind w:right="31"/>
        <w:jc w:val="both"/>
      </w:pPr>
      <w:r>
        <w:rPr>
          <w:color w:val="231F20"/>
        </w:rPr>
        <w:t>购风电与签订风能的再生能源购电协议 </w:t>
      </w:r>
      <w:r>
        <w:rPr>
          <w:color w:val="231F20"/>
          <w:w w:val="105"/>
        </w:rPr>
        <w:t>(PPA,Power Purchase Agreement) </w:t>
      </w:r>
      <w:r>
        <w:rPr>
          <w:color w:val="231F20"/>
          <w:w w:val="105"/>
        </w:rPr>
      </w:r>
      <w:r>
        <w:rPr>
          <w:color w:val="231F20"/>
        </w:rPr>
        <w:t>的数量已达 6.4GW。混和电力与共址 </w:t>
      </w:r>
      <w:r>
        <w:rPr>
          <w:color w:val="231F20"/>
        </w:rPr>
      </w:r>
      <w:r>
        <w:rPr>
          <w:color w:val="231F20"/>
          <w:w w:val="105"/>
        </w:rPr>
        <w:t>计划 (co-locatedproject) 等新解决方 </w:t>
      </w:r>
      <w:r>
        <w:rPr>
          <w:color w:val="231F20"/>
          <w:w w:val="105"/>
        </w:rPr>
      </w:r>
      <w:r>
        <w:rPr>
          <w:color w:val="231F20"/>
        </w:rPr>
        <w:t>案正在开发中，增加了对成本效益的关 注，有利于整合性与供应安全性。全球 风能协会预计风能市场短期及长期增长 将受到这三个因素影响——调整商业模 </w:t>
      </w:r>
      <w:r>
        <w:rPr>
          <w:color w:val="231F20"/>
          <w:w w:val="105"/>
        </w:rPr>
        <w:t>式、企业收购和新解决方案。</w:t>
      </w:r>
      <w:r>
        <w:rPr>
          <w:w w:val="105"/>
        </w:rPr>
      </w:r>
    </w:p>
    <w:p>
      <w:pPr>
        <w:spacing w:line="240" w:lineRule="auto" w:before="13"/>
        <w:ind w:right="0"/>
        <w:rPr>
          <w:rFonts w:ascii="Arial Unicode MS" w:hAnsi="Arial Unicode MS" w:cs="Arial Unicode MS" w:eastAsia="Arial Unicode MS" w:hint="default"/>
          <w:sz w:val="14"/>
          <w:szCs w:val="14"/>
        </w:rPr>
      </w:pPr>
    </w:p>
    <w:p>
      <w:pPr>
        <w:pStyle w:val="Heading1"/>
        <w:spacing w:line="240" w:lineRule="auto"/>
        <w:ind w:right="-18"/>
        <w:jc w:val="left"/>
      </w:pPr>
      <w:r>
        <w:rPr>
          <w:color w:val="007F3E"/>
        </w:rPr>
        <w:t>能源转型期间之商业模式调整</w:t>
      </w:r>
      <w:r>
        <w:rPr/>
      </w:r>
    </w:p>
    <w:p>
      <w:pPr>
        <w:pStyle w:val="BodyText"/>
        <w:spacing w:line="247" w:lineRule="auto" w:before="5"/>
        <w:ind w:right="182" w:firstLine="360"/>
        <w:jc w:val="left"/>
      </w:pPr>
      <w:r>
        <w:rPr/>
        <w:pict>
          <v:shape style="position:absolute;margin-left:223.936996pt;margin-top:28.455524pt;width:320.314pt;height:186.053pt;mso-position-horizontal-relative:page;mso-position-vertical-relative:paragraph;z-index:1096" type="#_x0000_t75" stroked="false">
            <v:imagedata r:id="rId10" o:title=""/>
          </v:shape>
        </w:pict>
      </w:r>
      <w:r>
        <w:rPr>
          <w:color w:val="231F20"/>
          <w:w w:val="105"/>
        </w:rPr>
        <w:t>2018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年壳牌公司收购英国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First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Utility 跨足电力部门产业。2018 年 </w:t>
      </w:r>
      <w:r>
        <w:rPr>
          <w:color w:val="231F20"/>
          <w:w w:val="105"/>
        </w:rPr>
        <w:t>7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月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Equinor(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前挪威国家石油公</w:t>
      </w:r>
      <w:r>
        <w:rPr>
          <w:w w:val="105"/>
        </w:rPr>
      </w:r>
    </w:p>
    <w:p>
      <w:pPr>
        <w:pStyle w:val="BodyText"/>
        <w:spacing w:line="247" w:lineRule="auto" w:before="1"/>
        <w:ind w:right="-18"/>
        <w:jc w:val="left"/>
      </w:pPr>
      <w:r>
        <w:rPr>
          <w:color w:val="231F20"/>
        </w:rPr>
        <w:t>司 ) 宣布收购能源交易商 Danske Commodities。Enel 等国际公用事业 公司高度关注可再生能源和企业解决方 案 (Enel</w:t>
      </w:r>
      <w:r>
        <w:rPr>
          <w:color w:val="231F20"/>
          <w:spacing w:val="41"/>
        </w:rPr>
        <w:t> </w:t>
      </w:r>
      <w:r>
        <w:rPr>
          <w:color w:val="231F20"/>
        </w:rPr>
        <w:t>筹组了</w:t>
      </w:r>
      <w:r>
        <w:rPr>
          <w:color w:val="231F20"/>
          <w:spacing w:val="20"/>
        </w:rPr>
        <w:t> </w:t>
      </w:r>
      <w:r>
        <w:rPr>
          <w:color w:val="231F20"/>
        </w:rPr>
        <w:t>EnelX，一个致力于分</w:t>
      </w:r>
      <w:r>
        <w:rPr>
          <w:color w:val="231F20"/>
          <w:w w:val="102"/>
        </w:rPr>
        <w:t> </w:t>
      </w:r>
      <w:r>
        <w:rPr>
          <w:color w:val="231F20"/>
        </w:rPr>
        <w:t>配能源、能源效率等主题的单位 )。这 </w:t>
      </w:r>
      <w:r>
        <w:rPr>
          <w:color w:val="231F20"/>
        </w:rPr>
        <w:t>些只是许多业者在 2018 年间调整他们 的业务重点的其中一些例子。获取新收 入和增长机会是商业模式调整背后的关 键驱动因素。这种发展可直接将能源转 换的动力与产业的新定位链接起来，提</w:t>
      </w:r>
      <w:r>
        <w:rPr/>
      </w:r>
    </w:p>
    <w:p>
      <w:pPr>
        <w:pStyle w:val="BodyText"/>
        <w:spacing w:line="289" w:lineRule="exact"/>
        <w:ind w:right="-14"/>
        <w:jc w:val="left"/>
      </w:pPr>
      <w:r>
        <w:rPr/>
        <w:br w:type="column"/>
      </w:r>
      <w:r>
        <w:rPr>
          <w:color w:val="231F20"/>
        </w:rPr>
        <w:t>升企业价值及挖掘许多新商机。</w:t>
      </w:r>
      <w:r>
        <w:rPr/>
      </w:r>
    </w:p>
    <w:p>
      <w:pPr>
        <w:pStyle w:val="BodyText"/>
        <w:spacing w:line="247" w:lineRule="auto" w:before="8"/>
        <w:ind w:right="165" w:firstLine="360"/>
        <w:jc w:val="both"/>
      </w:pPr>
      <w:r>
        <w:rPr>
          <w:color w:val="231F20"/>
        </w:rPr>
        <w:t>特别是价格下跌与竞争压力的结合 导致了收入减少及在传统商业模式之外 寻求增长的需求。举例来说，涡轮机设 备制造商在过去几年经历了利润压力， 而类似这种情形正加速企业传统商业模 式的瓦解。</w:t>
      </w:r>
      <w:r>
        <w:rPr/>
      </w:r>
    </w:p>
    <w:p>
      <w:pPr>
        <w:pStyle w:val="BodyText"/>
        <w:spacing w:line="247" w:lineRule="auto" w:before="1"/>
        <w:ind w:right="-14" w:firstLine="360"/>
        <w:jc w:val="left"/>
      </w:pPr>
      <w:r>
        <w:rPr>
          <w:color w:val="231F20"/>
        </w:rPr>
        <w:t>风能领域的非传统企业 ( 像是石油 业者 ) 的知识和经验可以发挥潜能，促 </w:t>
      </w:r>
      <w:r>
        <w:rPr>
          <w:color w:val="231F20"/>
          <w:spacing w:val="-1"/>
        </w:rPr>
        <w:t>进更大交易量，借由包括离岸风电市场、</w:t>
      </w:r>
      <w:r>
        <w:rPr>
          <w:color w:val="231F20"/>
        </w:rPr>
        <w:t> </w:t>
      </w:r>
      <w:r>
        <w:rPr>
          <w:color w:val="231F20"/>
        </w:rPr>
        <w:t>电网、基础设施、整合及分配，并涵盖</w:t>
      </w:r>
      <w:r>
        <w:rPr/>
      </w:r>
    </w:p>
    <w:p>
      <w:pPr>
        <w:pStyle w:val="BodyText"/>
        <w:spacing w:line="289" w:lineRule="exact"/>
        <w:ind w:right="160"/>
        <w:jc w:val="left"/>
      </w:pPr>
      <w:r>
        <w:rPr/>
        <w:br w:type="column"/>
      </w:r>
      <w:r>
        <w:rPr>
          <w:color w:val="231F20"/>
        </w:rPr>
        <w:t>相关领域如电动化及电动交通等。</w:t>
      </w:r>
      <w:r>
        <w:rPr/>
      </w:r>
    </w:p>
    <w:p>
      <w:pPr>
        <w:pStyle w:val="BodyText"/>
        <w:spacing w:line="247" w:lineRule="auto" w:before="8"/>
        <w:ind w:right="178" w:firstLine="360"/>
        <w:jc w:val="both"/>
      </w:pPr>
      <w:r>
        <w:rPr>
          <w:color w:val="231F20"/>
        </w:rPr>
        <w:t>隐含的事实是风能不再是一个利基 行业，而是已发展成为主流的能源解决 方案。全球风能协会市场情报部预计企 业的格局将进一步改变，最终将改变彼 此关系和协作模式。</w:t>
      </w:r>
      <w:r>
        <w:rPr/>
      </w:r>
    </w:p>
    <w:p>
      <w:pPr>
        <w:spacing w:line="240" w:lineRule="auto" w:before="10"/>
        <w:ind w:right="0"/>
        <w:rPr>
          <w:rFonts w:ascii="Arial Unicode MS" w:hAnsi="Arial Unicode MS" w:cs="Arial Unicode MS" w:eastAsia="Arial Unicode MS" w:hint="default"/>
          <w:sz w:val="18"/>
          <w:szCs w:val="18"/>
        </w:rPr>
      </w:pPr>
    </w:p>
    <w:p>
      <w:pPr>
        <w:pStyle w:val="Heading1"/>
        <w:spacing w:line="324" w:lineRule="exact"/>
        <w:ind w:right="160"/>
        <w:jc w:val="left"/>
      </w:pPr>
      <w:r>
        <w:rPr>
          <w:color w:val="007F3E"/>
        </w:rPr>
        <w:t>企业收购——成熟模型及增长驱 动</w:t>
      </w:r>
      <w:r>
        <w:rPr/>
      </w:r>
    </w:p>
    <w:p>
      <w:pPr>
        <w:pStyle w:val="BodyText"/>
        <w:spacing w:line="247" w:lineRule="auto"/>
        <w:ind w:right="254" w:firstLine="360"/>
        <w:jc w:val="both"/>
      </w:pPr>
      <w:r>
        <w:rPr>
          <w:color w:val="231F20"/>
        </w:rPr>
        <w:t>企业收购及企业 PPA 于 2018 年 持续增长，企业签署 PPA</w:t>
      </w:r>
      <w:r>
        <w:rPr>
          <w:color w:val="231F20"/>
          <w:spacing w:val="22"/>
        </w:rPr>
        <w:t> </w:t>
      </w:r>
      <w:r>
        <w:rPr>
          <w:color w:val="231F20"/>
        </w:rPr>
        <w:t>或直接从资</w:t>
      </w:r>
      <w:r>
        <w:rPr/>
      </w:r>
    </w:p>
    <w:p>
      <w:pPr>
        <w:spacing w:after="0" w:line="247" w:lineRule="auto"/>
        <w:jc w:val="both"/>
        <w:sectPr>
          <w:type w:val="continuous"/>
          <w:pgSz w:w="11910" w:h="16160"/>
          <w:pgMar w:top="1240" w:bottom="980" w:left="840" w:right="840"/>
          <w:cols w:num="3" w:equalWidth="0">
            <w:col w:w="3218" w:space="203"/>
            <w:col w:w="3352" w:space="69"/>
            <w:col w:w="3388"/>
          </w:cols>
        </w:sect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14"/>
        <w:ind w:right="0"/>
        <w:rPr>
          <w:rFonts w:ascii="Arial Unicode MS" w:hAnsi="Arial Unicode MS" w:cs="Arial Unicode MS" w:eastAsia="Arial Unicode MS" w:hint="default"/>
          <w:sz w:val="15"/>
          <w:szCs w:val="15"/>
        </w:rPr>
      </w:pPr>
    </w:p>
    <w:p>
      <w:pPr>
        <w:spacing w:line="268" w:lineRule="exact" w:before="0"/>
        <w:ind w:left="994" w:right="993" w:firstLine="0"/>
        <w:jc w:val="center"/>
        <w:rPr>
          <w:rFonts w:ascii="Arial Unicode MS" w:hAnsi="Arial Unicode MS" w:cs="Arial Unicode MS" w:eastAsia="Arial Unicode MS" w:hint="default"/>
          <w:sz w:val="16"/>
          <w:szCs w:val="16"/>
        </w:rPr>
      </w:pPr>
      <w:r>
        <w:rPr/>
        <w:pict>
          <v:shape style="position:absolute;margin-left:0pt;margin-top:-148.771942pt;width:595.275pt;height:134.93pt;mso-position-horizontal-relative:page;mso-position-vertical-relative:paragraph;z-index:1144" type="#_x0000_t75" stroked="false">
            <v:imagedata r:id="rId11" o:title=""/>
          </v:shape>
        </w:pict>
      </w:r>
      <w:r>
        <w:rPr>
          <w:rFonts w:ascii="Arial Unicode MS" w:hAnsi="Arial Unicode MS" w:cs="Arial Unicode MS" w:eastAsia="Arial Unicode MS" w:hint="default"/>
          <w:color w:val="231F20"/>
          <w:w w:val="105"/>
          <w:sz w:val="16"/>
          <w:szCs w:val="16"/>
        </w:rPr>
        <w:t>价值调整后的均化发电成本 VALCOE（Value-Adjusted Levelised Cost of Electricity, VALCOE）是以原来的均化发电成</w:t>
      </w:r>
      <w:r>
        <w:rPr>
          <w:rFonts w:ascii="Arial Unicode MS" w:hAnsi="Arial Unicode MS" w:cs="Arial Unicode MS" w:eastAsia="Arial Unicode MS" w:hint="default"/>
          <w:color w:val="231F20"/>
          <w:spacing w:val="10"/>
          <w:w w:val="105"/>
          <w:sz w:val="16"/>
          <w:szCs w:val="16"/>
        </w:rPr>
        <w:t> </w:t>
      </w:r>
      <w:r>
        <w:rPr>
          <w:rFonts w:ascii="Arial Unicode MS" w:hAnsi="Arial Unicode MS" w:cs="Arial Unicode MS" w:eastAsia="Arial Unicode MS" w:hint="default"/>
          <w:color w:val="231F20"/>
          <w:w w:val="105"/>
          <w:sz w:val="16"/>
          <w:szCs w:val="16"/>
        </w:rPr>
        <w:t>本（Levelized</w:t>
      </w:r>
      <w:r>
        <w:rPr>
          <w:rFonts w:ascii="Arial Unicode MS" w:hAnsi="Arial Unicode MS" w:cs="Arial Unicode MS" w:eastAsia="Arial Unicode MS" w:hint="default"/>
          <w:sz w:val="16"/>
          <w:szCs w:val="16"/>
        </w:rPr>
      </w:r>
    </w:p>
    <w:p>
      <w:pPr>
        <w:spacing w:before="43"/>
        <w:ind w:left="994" w:right="993" w:firstLine="0"/>
        <w:jc w:val="center"/>
        <w:rPr>
          <w:rFonts w:ascii="Arial Unicode MS" w:hAnsi="Arial Unicode MS" w:cs="Arial Unicode MS" w:eastAsia="Arial Unicode MS" w:hint="default"/>
          <w:sz w:val="16"/>
          <w:szCs w:val="16"/>
        </w:rPr>
      </w:pPr>
      <w:r>
        <w:rPr>
          <w:rFonts w:ascii="Arial Unicode MS" w:hAnsi="Arial Unicode MS" w:cs="Arial Unicode MS" w:eastAsia="Arial Unicode MS" w:hint="default"/>
          <w:color w:val="231F20"/>
          <w:sz w:val="16"/>
          <w:szCs w:val="16"/>
        </w:rPr>
        <w:t>Cost  of  Electricity,  LCOE）为基础，再纳入能源、容量及灵活性三种价值因子加以调整，做为评估发电</w:t>
      </w:r>
      <w:r>
        <w:rPr>
          <w:rFonts w:ascii="Arial Unicode MS" w:hAnsi="Arial Unicode MS" w:cs="Arial Unicode MS" w:eastAsia="Arial Unicode MS" w:hint="default"/>
          <w:color w:val="231F20"/>
          <w:spacing w:val="9"/>
          <w:sz w:val="16"/>
          <w:szCs w:val="16"/>
        </w:rPr>
        <w:t> </w:t>
      </w:r>
      <w:r>
        <w:rPr>
          <w:rFonts w:ascii="Arial Unicode MS" w:hAnsi="Arial Unicode MS" w:cs="Arial Unicode MS" w:eastAsia="Arial Unicode MS" w:hint="default"/>
          <w:color w:val="231F20"/>
          <w:sz w:val="16"/>
          <w:szCs w:val="16"/>
        </w:rPr>
        <w:t>技术竞争力的新指标。</w:t>
      </w:r>
      <w:r>
        <w:rPr>
          <w:rFonts w:ascii="Arial Unicode MS" w:hAnsi="Arial Unicode MS" w:cs="Arial Unicode MS" w:eastAsia="Arial Unicode MS" w:hint="default"/>
          <w:sz w:val="16"/>
          <w:szCs w:val="16"/>
        </w:rPr>
      </w: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after="0" w:line="240" w:lineRule="auto"/>
        <w:rPr>
          <w:rFonts w:ascii="Arial Unicode MS" w:hAnsi="Arial Unicode MS" w:cs="Arial Unicode MS" w:eastAsia="Arial Unicode MS" w:hint="default"/>
          <w:sz w:val="20"/>
          <w:szCs w:val="20"/>
        </w:rPr>
        <w:sectPr>
          <w:pgSz w:w="11910" w:h="16160"/>
          <w:pgMar w:header="868" w:footer="776" w:top="1240" w:bottom="980" w:left="0" w:right="0"/>
        </w:sectPr>
      </w:pPr>
    </w:p>
    <w:p>
      <w:pPr>
        <w:pStyle w:val="BodyText"/>
        <w:spacing w:line="247" w:lineRule="auto" w:before="12"/>
        <w:ind w:left="964" w:right="6"/>
        <w:jc w:val="left"/>
      </w:pPr>
      <w:r>
        <w:rPr/>
        <w:pict>
          <v:shape style="position:absolute;margin-left:219.193451pt;margin-top:169.579147pt;width:327.893126pt;height:197.956754pt;mso-position-horizontal-relative:page;mso-position-vertical-relative:paragraph;z-index:1120" type="#_x0000_t75" stroked="false">
            <v:imagedata r:id="rId12" o:title=""/>
          </v:shape>
        </w:pict>
      </w:r>
      <w:r>
        <w:rPr>
          <w:color w:val="231F20"/>
        </w:rPr>
        <w:t>产所有者采购风电的模式已渐成熟。许 多收购及 PPA 模式已被执行 ( 例如： 多买方 PPA、代理收入互换协议、私 人 PPA 等 )，而企业、资产所有者、 金融家和银行们则增加了建构此类交 易的经验。尽管如此大部分企业风能收 购都发生在北美及北欧，且都是大型企 业。根据彭博新能源财经 (Bloomberg NEF)，2018 年 60% 的风能企业收购 交易在北美签署，其中最大的交易量来 自  AT&amp;T、Walmart  及 </w:t>
      </w:r>
      <w:r>
        <w:rPr>
          <w:color w:val="231F20"/>
          <w:spacing w:val="20"/>
        </w:rPr>
        <w:t> </w:t>
      </w:r>
      <w:r>
        <w:rPr>
          <w:color w:val="231F20"/>
        </w:rPr>
        <w:t>Facebook。</w:t>
      </w:r>
      <w:r>
        <w:rPr/>
      </w:r>
    </w:p>
    <w:p>
      <w:pPr>
        <w:pStyle w:val="BodyText"/>
        <w:spacing w:line="247" w:lineRule="auto" w:before="1"/>
        <w:ind w:left="964" w:right="0" w:firstLine="360"/>
        <w:jc w:val="both"/>
      </w:pPr>
      <w:r>
        <w:rPr>
          <w:color w:val="231F20"/>
        </w:rPr>
        <w:t>这些都是除了国家目标或电力需求 外，企业收购如何成为另一种增长驱动 的例子。在瑞典，Norsk Hydro( 全球 最大的铝业公司之一 ) 签署了 235MW 的企业 PPA，时间长达 29 年，为现今 最长时间的企业</w:t>
      </w:r>
      <w:r>
        <w:rPr>
          <w:color w:val="231F20"/>
          <w:spacing w:val="28"/>
        </w:rPr>
        <w:t> </w:t>
      </w:r>
      <w:r>
        <w:rPr>
          <w:color w:val="231F20"/>
        </w:rPr>
        <w:t>PPA。</w:t>
      </w:r>
      <w:r>
        <w:rPr/>
      </w:r>
    </w:p>
    <w:p>
      <w:pPr>
        <w:pStyle w:val="BodyText"/>
        <w:spacing w:line="247" w:lineRule="auto" w:before="1"/>
        <w:ind w:left="964" w:right="23" w:firstLine="360"/>
        <w:jc w:val="both"/>
      </w:pPr>
      <w:r>
        <w:rPr>
          <w:color w:val="231F20"/>
        </w:rPr>
        <w:t>展望未来，企业收购风电成为更强 大且稳定的增长动能有两个关键点：第 一，在发展中市场建立企业收购机制， 例如监管变化。</w:t>
      </w:r>
      <w:r>
        <w:rPr/>
      </w:r>
    </w:p>
    <w:p>
      <w:pPr>
        <w:pStyle w:val="BodyText"/>
        <w:spacing w:line="240" w:lineRule="auto" w:before="1"/>
        <w:ind w:left="1324" w:right="6"/>
        <w:jc w:val="left"/>
      </w:pPr>
      <w:r>
        <w:rPr>
          <w:color w:val="231F20"/>
        </w:rPr>
        <w:t>第二，让小型 /</w:t>
      </w:r>
      <w:r>
        <w:rPr>
          <w:color w:val="231F20"/>
          <w:spacing w:val="-8"/>
        </w:rPr>
        <w:t> </w:t>
      </w:r>
      <w:r>
        <w:rPr>
          <w:color w:val="231F20"/>
        </w:rPr>
        <w:t>本地企业进入企业</w:t>
      </w:r>
      <w:r>
        <w:rPr/>
      </w:r>
    </w:p>
    <w:p>
      <w:pPr>
        <w:pStyle w:val="BodyText"/>
        <w:spacing w:line="247" w:lineRule="auto" w:before="12"/>
        <w:ind w:left="294" w:right="0"/>
        <w:jc w:val="both"/>
      </w:pPr>
      <w:r>
        <w:rPr/>
        <w:br w:type="column"/>
      </w:r>
      <w:r>
        <w:rPr>
          <w:color w:val="231F20"/>
        </w:rPr>
        <w:t>收购机制，例如：借由客户群的整合， Vattenfall( 瑞典国有公用事业公司</w:t>
      </w:r>
      <w:r>
        <w:rPr>
          <w:color w:val="231F20"/>
          <w:spacing w:val="39"/>
        </w:rPr>
        <w:t> </w:t>
      </w:r>
      <w:r>
        <w:rPr>
          <w:color w:val="231F20"/>
        </w:rPr>
        <w:t>)</w:t>
      </w:r>
      <w:r>
        <w:rPr>
          <w:color w:val="231F20"/>
          <w:spacing w:val="19"/>
        </w:rPr>
        <w:t> </w:t>
      </w:r>
      <w:r>
        <w:rPr>
          <w:color w:val="231F20"/>
        </w:rPr>
        <w:t>正</w:t>
      </w:r>
      <w:r>
        <w:rPr>
          <w:color w:val="231F20"/>
        </w:rPr>
        <w:t> 使用这个方式。</w:t>
      </w:r>
      <w:r>
        <w:rPr/>
      </w:r>
    </w:p>
    <w:p>
      <w:pPr>
        <w:pStyle w:val="BodyText"/>
        <w:spacing w:line="247" w:lineRule="auto" w:before="1"/>
        <w:ind w:left="294" w:right="0" w:firstLine="360"/>
        <w:jc w:val="both"/>
      </w:pPr>
      <w:r>
        <w:rPr>
          <w:color w:val="231F20"/>
        </w:rPr>
        <w:t>如应用这两个关键点将可看出接下 来几年企业收购是否可成为一个增长动 力。否则，企业收购将仅限于某些市场 和大型企业中。</w:t>
      </w:r>
      <w:r>
        <w:rPr/>
      </w:r>
    </w:p>
    <w:p>
      <w:pPr>
        <w:pStyle w:val="Heading1"/>
        <w:spacing w:line="332" w:lineRule="exact"/>
        <w:ind w:left="319" w:right="0"/>
        <w:jc w:val="left"/>
      </w:pPr>
      <w:r>
        <w:rPr/>
        <w:br w:type="column"/>
      </w:r>
      <w:r>
        <w:rPr>
          <w:color w:val="007F3E"/>
        </w:rPr>
        <w:t>新解决方案——着重于价值提升</w:t>
      </w:r>
      <w:r>
        <w:rPr/>
      </w:r>
    </w:p>
    <w:p>
      <w:pPr>
        <w:pStyle w:val="BodyText"/>
        <w:spacing w:line="247" w:lineRule="auto" w:before="5"/>
        <w:ind w:left="319" w:right="1020" w:firstLine="360"/>
        <w:jc w:val="left"/>
      </w:pPr>
      <w:r>
        <w:rPr>
          <w:color w:val="231F20"/>
        </w:rPr>
        <w:t>借由能源产业最重要的衡量方式之 一，均化发电成本 (LCOE,Levelised Costof Electricity)，风能产业已能够 证明其日益成熟的成本竞争力及效率。</w:t>
      </w:r>
      <w:r>
        <w:rPr/>
      </w:r>
    </w:p>
    <w:p>
      <w:pPr>
        <w:pStyle w:val="BodyText"/>
        <w:spacing w:line="247" w:lineRule="auto" w:before="1"/>
        <w:ind w:left="319" w:right="984" w:firstLine="360"/>
        <w:jc w:val="left"/>
      </w:pPr>
      <w:r>
        <w:rPr>
          <w:color w:val="231F20"/>
          <w:w w:val="105"/>
        </w:rPr>
        <w:t>LCOE 是衡量风能成本及其他能 </w:t>
      </w:r>
      <w:r>
        <w:rPr>
          <w:color w:val="231F20"/>
        </w:rPr>
        <w:t>源的常用指标。业者及政治人物会使用 LCEO </w:t>
      </w:r>
      <w:r>
        <w:rPr>
          <w:color w:val="231F20"/>
          <w:spacing w:val="36"/>
        </w:rPr>
        <w:t> </w:t>
      </w:r>
      <w:r>
        <w:rPr>
          <w:color w:val="231F20"/>
        </w:rPr>
        <w:t>来评估目标及维持水平。LCEO</w:t>
      </w:r>
      <w:r>
        <w:rPr/>
      </w:r>
    </w:p>
    <w:p>
      <w:pPr>
        <w:spacing w:after="0" w:line="247" w:lineRule="auto"/>
        <w:jc w:val="left"/>
        <w:sectPr>
          <w:type w:val="continuous"/>
          <w:pgSz w:w="11910" w:h="16160"/>
          <w:pgMar w:top="1240" w:bottom="980" w:left="0" w:right="0"/>
          <w:cols w:num="3" w:equalWidth="0">
            <w:col w:w="4051" w:space="40"/>
            <w:col w:w="3356" w:space="40"/>
            <w:col w:w="4423"/>
          </w:cols>
        </w:sect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13" w:after="0"/>
        <w:ind w:right="0"/>
        <w:rPr>
          <w:rFonts w:ascii="Arial Unicode MS" w:hAnsi="Arial Unicode MS" w:cs="Arial Unicode MS" w:eastAsia="Arial Unicode MS" w:hint="default"/>
          <w:sz w:val="10"/>
          <w:szCs w:val="10"/>
        </w:rPr>
      </w:pPr>
    </w:p>
    <w:p>
      <w:pPr>
        <w:spacing w:line="36" w:lineRule="exact"/>
        <w:ind w:left="105" w:right="0" w:firstLine="0"/>
        <w:rPr>
          <w:rFonts w:ascii="Arial Unicode MS" w:hAnsi="Arial Unicode MS" w:cs="Arial Unicode MS" w:eastAsia="Arial Unicode MS" w:hint="default"/>
          <w:sz w:val="3"/>
          <w:szCs w:val="3"/>
        </w:rPr>
      </w:pPr>
      <w:r>
        <w:rPr>
          <w:rFonts w:ascii="Arial Unicode MS" w:hAnsi="Arial Unicode MS" w:cs="Arial Unicode MS" w:eastAsia="Arial Unicode MS" w:hint="default"/>
          <w:position w:val="0"/>
          <w:sz w:val="3"/>
          <w:szCs w:val="3"/>
        </w:rPr>
        <w:pict>
          <v:group style="width:500.7pt;height:1.8pt;mso-position-horizontal-relative:char;mso-position-vertical-relative:line" coordorigin="0,0" coordsize="10014,36">
            <v:group style="position:absolute;left:18;top:18;width:2495;height:2" coordorigin="18,18" coordsize="2495,2">
              <v:shape style="position:absolute;left:18;top:18;width:2495;height:2" coordorigin="18,18" coordsize="2495,0" path="m18,18l2512,18e" filled="false" stroked="true" strokeweight="1.754pt" strokecolor="#007f3e">
                <v:path arrowok="t"/>
              </v:shape>
            </v:group>
            <v:group style="position:absolute;left:2512;top:18;width:5045;height:2" coordorigin="2512,18" coordsize="5045,2">
              <v:shape style="position:absolute;left:2512;top:18;width:5045;height:2" coordorigin="2512,18" coordsize="5045,0" path="m2512,18l7557,18e" filled="false" stroked="true" strokeweight="1.754pt" strokecolor="#007f3e">
                <v:path arrowok="t"/>
              </v:shape>
            </v:group>
            <v:group style="position:absolute;left:7557;top:18;width:2439;height:2" coordorigin="7557,18" coordsize="2439,2">
              <v:shape style="position:absolute;left:7557;top:18;width:2439;height:2" coordorigin="7557,18" coordsize="2439,0" path="m7557,18l9996,18e" filled="false" stroked="true" strokeweight="1.754pt" strokecolor="#007f3e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 w:hint="default"/>
          <w:position w:val="0"/>
          <w:sz w:val="3"/>
          <w:szCs w:val="3"/>
        </w:rPr>
      </w:r>
    </w:p>
    <w:p>
      <w:pPr>
        <w:spacing w:line="240" w:lineRule="auto" w:before="17"/>
        <w:ind w:right="0"/>
        <w:rPr>
          <w:rFonts w:ascii="Arial Unicode MS" w:hAnsi="Arial Unicode MS" w:cs="Arial Unicode MS" w:eastAsia="Arial Unicode MS" w:hint="default"/>
          <w:sz w:val="4"/>
          <w:szCs w:val="4"/>
        </w:rPr>
      </w:pPr>
    </w:p>
    <w:p>
      <w:pPr>
        <w:pStyle w:val="Heading2"/>
        <w:spacing w:line="302" w:lineRule="exact"/>
        <w:ind w:right="0"/>
        <w:jc w:val="left"/>
      </w:pPr>
      <w:r>
        <w:rPr>
          <w:color w:val="007F3E"/>
          <w:w w:val="105"/>
        </w:rPr>
        <w:t>表 2</w:t>
      </w:r>
      <w:r>
        <w:rPr>
          <w:color w:val="007F3E"/>
          <w:spacing w:val="26"/>
          <w:w w:val="105"/>
        </w:rPr>
        <w:t> </w:t>
      </w:r>
      <w:r>
        <w:rPr>
          <w:color w:val="007F3E"/>
          <w:w w:val="105"/>
        </w:rPr>
        <w:t>风能为基础的解决方案模型</w:t>
      </w:r>
      <w:r>
        <w:rPr/>
      </w:r>
    </w:p>
    <w:p>
      <w:pPr>
        <w:spacing w:line="240" w:lineRule="auto" w:before="9" w:after="0"/>
        <w:ind w:right="0"/>
        <w:rPr>
          <w:rFonts w:ascii="Arial Unicode MS" w:hAnsi="Arial Unicode MS" w:cs="Arial Unicode MS" w:eastAsia="Arial Unicode MS" w:hint="default"/>
          <w:sz w:val="10"/>
          <w:szCs w:val="1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5045"/>
        <w:gridCol w:w="2439"/>
      </w:tblGrid>
      <w:tr>
        <w:trPr>
          <w:trHeight w:val="594" w:hRule="exact"/>
        </w:trPr>
        <w:tc>
          <w:tcPr>
            <w:tcW w:w="2494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5"/>
              <w:ind w:left="2"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解决方案之模型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50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说明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范例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594" w:hRule="exact"/>
        </w:trPr>
        <w:tc>
          <w:tcPr>
            <w:tcW w:w="2494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共址计划、油电混和解决方案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50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3" w:lineRule="auto" w:before="96"/>
              <w:ind w:left="1480" w:right="54" w:hanging="1424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风能加上另一种能源及 /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或储存装置方案。这可成为完全整合的组合计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划，或共享电网的单独计划。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w w:val="110"/>
                <w:sz w:val="16"/>
                <w:szCs w:val="16"/>
              </w:rPr>
              <w:t>澳洲 Kennedy Wind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21"/>
                <w:w w:val="11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w w:val="110"/>
                <w:sz w:val="16"/>
                <w:szCs w:val="16"/>
              </w:rPr>
              <w:t>Farm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594" w:hRule="exact"/>
        </w:trPr>
        <w:tc>
          <w:tcPr>
            <w:tcW w:w="2494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补充解决方案 /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虚拟电厂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50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3" w:lineRule="auto" w:before="96"/>
              <w:ind w:left="2040" w:right="38" w:hanging="2000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不同地点的风能计划、或是虚拟管理不同地点的风能加上其他能源之补 充解决方案。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tabs>
                <w:tab w:pos="1779" w:val="left" w:leader="none"/>
              </w:tabs>
              <w:spacing w:line="163" w:lineRule="auto"/>
              <w:ind w:left="187" w:right="188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w w:val="110"/>
                <w:sz w:val="16"/>
                <w:szCs w:val="16"/>
              </w:rPr>
              <w:t>中国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31"/>
                <w:w w:val="11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w w:val="110"/>
                <w:sz w:val="16"/>
                <w:szCs w:val="16"/>
              </w:rPr>
              <w:t>Luneng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29"/>
                <w:w w:val="11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w w:val="110"/>
                <w:sz w:val="16"/>
                <w:szCs w:val="16"/>
              </w:rPr>
              <w:t>Haixi</w:t>
              <w:tab/>
              <w:t>Multi-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w w:val="110"/>
                <w:sz w:val="16"/>
                <w:szCs w:val="16"/>
              </w:rPr>
              <w:t>mixed Energy Demonstration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16"/>
                <w:w w:val="11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w w:val="110"/>
                <w:sz w:val="16"/>
                <w:szCs w:val="16"/>
              </w:rPr>
              <w:t>Project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594" w:hRule="exact"/>
        </w:trPr>
        <w:tc>
          <w:tcPr>
            <w:tcW w:w="2494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3" w:lineRule="auto" w:before="96"/>
              <w:ind w:left="463" w:right="100" w:hanging="439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pacing w:val="-6"/>
                <w:sz w:val="16"/>
                <w:szCs w:val="16"/>
              </w:rPr>
              <w:t>财务解决方案，例如企业收购模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 式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利伯维尔场机制 /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交易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50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3" w:lineRule="auto" w:before="96"/>
              <w:ind w:left="359" w:right="96" w:hanging="467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、 风能计划是财务解决方案的一部分，可以摒除 实际电力输送。它涵盖 企业 PPA 和风险管理工 具像是收益互换 (revenue  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23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swap)。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w w:val="110"/>
                <w:sz w:val="16"/>
                <w:szCs w:val="16"/>
              </w:rPr>
              <w:t>澳洲 Lal Lal Wind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17"/>
                <w:w w:val="11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w w:val="110"/>
                <w:sz w:val="16"/>
                <w:szCs w:val="16"/>
              </w:rPr>
              <w:t>Farm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594" w:hRule="exact"/>
        </w:trPr>
        <w:tc>
          <w:tcPr>
            <w:tcW w:w="2494" w:type="dxa"/>
            <w:tcBorders>
              <w:top w:val="single" w:sz="2" w:space="0" w:color="231F20"/>
              <w:left w:val="nil" w:sz="6" w:space="0" w:color="auto"/>
              <w:bottom w:val="single" w:sz="7" w:space="0" w:color="007F3E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现场供应、离网解决方案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5045" w:type="dxa"/>
            <w:tcBorders>
              <w:top w:val="single" w:sz="2" w:space="0" w:color="231F20"/>
              <w:left w:val="single" w:sz="2" w:space="0" w:color="231F20"/>
              <w:bottom w:val="single" w:sz="7" w:space="0" w:color="007F3E"/>
              <w:right w:val="single" w:sz="2" w:space="0" w:color="231F20"/>
            </w:tcBorders>
          </w:tcPr>
          <w:p>
            <w:pPr>
              <w:pStyle w:val="TableParagraph"/>
              <w:spacing w:line="163" w:lineRule="auto"/>
              <w:ind w:left="39" w:right="38"/>
              <w:jc w:val="both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风能计划加上储存装置或其他能源来供应生产计划、或成为微电网或分 散能源系统的一部分。注：微电网是指由分布式电源、储能装置、能量 转换装置、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1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相关负荷和监控、保护装置汇集而成的小型发配电系统。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39" w:type="dxa"/>
            <w:tcBorders>
              <w:top w:val="single" w:sz="2" w:space="0" w:color="231F20"/>
              <w:left w:val="single" w:sz="2" w:space="0" w:color="231F20"/>
              <w:bottom w:val="single" w:sz="7" w:space="0" w:color="007F3E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w w:val="105"/>
                <w:sz w:val="16"/>
                <w:szCs w:val="16"/>
              </w:rPr>
              <w:t>日本 Aguni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46"/>
                <w:w w:val="105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w w:val="105"/>
                <w:sz w:val="16"/>
                <w:szCs w:val="16"/>
              </w:rPr>
              <w:t>Wind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</w:tbl>
    <w:p>
      <w:pPr>
        <w:spacing w:line="240" w:lineRule="auto" w:before="9" w:after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36" w:lineRule="exact"/>
        <w:ind w:left="106" w:right="0" w:firstLine="0"/>
        <w:rPr>
          <w:rFonts w:ascii="Arial Unicode MS" w:hAnsi="Arial Unicode MS" w:cs="Arial Unicode MS" w:eastAsia="Arial Unicode MS" w:hint="default"/>
          <w:sz w:val="3"/>
          <w:szCs w:val="3"/>
        </w:rPr>
      </w:pPr>
      <w:r>
        <w:rPr>
          <w:rFonts w:ascii="Arial Unicode MS" w:hAnsi="Arial Unicode MS" w:cs="Arial Unicode MS" w:eastAsia="Arial Unicode MS" w:hint="default"/>
          <w:position w:val="0"/>
          <w:sz w:val="3"/>
          <w:szCs w:val="3"/>
        </w:rPr>
        <w:pict>
          <v:group style="width:500.7pt;height:1.8pt;mso-position-horizontal-relative:char;mso-position-vertical-relative:line" coordorigin="0,0" coordsize="10014,36">
            <v:group style="position:absolute;left:18;top:18;width:2495;height:2" coordorigin="18,18" coordsize="2495,2">
              <v:shape style="position:absolute;left:18;top:18;width:2495;height:2" coordorigin="18,18" coordsize="2495,0" path="m18,18l2512,18e" filled="false" stroked="true" strokeweight="1.754pt" strokecolor="#007f3e">
                <v:path arrowok="t"/>
              </v:shape>
            </v:group>
            <v:group style="position:absolute;left:2512;top:18;width:2495;height:2" coordorigin="2512,18" coordsize="2495,2">
              <v:shape style="position:absolute;left:2512;top:18;width:2495;height:2" coordorigin="2512,18" coordsize="2495,0" path="m2512,18l5007,18e" filled="false" stroked="true" strokeweight="1.754pt" strokecolor="#007f3e">
                <v:path arrowok="t"/>
              </v:shape>
            </v:group>
            <v:group style="position:absolute;left:5007;top:18;width:2495;height:2" coordorigin="5007,18" coordsize="2495,2">
              <v:shape style="position:absolute;left:5007;top:18;width:2495;height:2" coordorigin="5007,18" coordsize="2495,0" path="m5007,18l7501,18e" filled="false" stroked="true" strokeweight="1.754pt" strokecolor="#007f3e">
                <v:path arrowok="t"/>
              </v:shape>
            </v:group>
            <v:group style="position:absolute;left:7501;top:18;width:2495;height:2" coordorigin="7501,18" coordsize="2495,2">
              <v:shape style="position:absolute;left:7501;top:18;width:2495;height:2" coordorigin="7501,18" coordsize="2495,0" path="m7501,18l9996,18e" filled="false" stroked="true" strokeweight="1.754pt" strokecolor="#007f3e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 w:hint="default"/>
          <w:position w:val="0"/>
          <w:sz w:val="3"/>
          <w:szCs w:val="3"/>
        </w:rPr>
      </w:r>
    </w:p>
    <w:p>
      <w:pPr>
        <w:spacing w:line="330" w:lineRule="exact" w:before="0"/>
        <w:ind w:left="224" w:right="0" w:firstLine="0"/>
        <w:jc w:val="left"/>
        <w:rPr>
          <w:rFonts w:ascii="Arial Unicode MS" w:hAnsi="Arial Unicode MS" w:cs="Arial Unicode MS" w:eastAsia="Arial Unicode MS" w:hint="default"/>
          <w:sz w:val="19"/>
          <w:szCs w:val="19"/>
        </w:rPr>
      </w:pPr>
      <w:r>
        <w:rPr>
          <w:rFonts w:ascii="Arial Unicode MS" w:hAnsi="Arial Unicode MS" w:cs="Arial Unicode MS" w:eastAsia="Arial Unicode MS" w:hint="default"/>
          <w:color w:val="007F3E"/>
          <w:w w:val="105"/>
          <w:sz w:val="19"/>
          <w:szCs w:val="19"/>
        </w:rPr>
        <w:t>表</w:t>
      </w:r>
      <w:r>
        <w:rPr>
          <w:rFonts w:ascii="Arial Unicode MS" w:hAnsi="Arial Unicode MS" w:cs="Arial Unicode MS" w:eastAsia="Arial Unicode MS" w:hint="default"/>
          <w:color w:val="007F3E"/>
          <w:spacing w:val="-40"/>
          <w:w w:val="105"/>
          <w:sz w:val="19"/>
          <w:szCs w:val="19"/>
        </w:rPr>
        <w:t> </w:t>
      </w:r>
      <w:r>
        <w:rPr>
          <w:rFonts w:ascii="Arial Unicode MS" w:hAnsi="Arial Unicode MS" w:cs="Arial Unicode MS" w:eastAsia="Arial Unicode MS" w:hint="default"/>
          <w:color w:val="007F3E"/>
          <w:w w:val="105"/>
          <w:sz w:val="19"/>
          <w:szCs w:val="19"/>
        </w:rPr>
        <w:t>3 以风能为基础的解决方案之优点</w:t>
      </w:r>
      <w:r>
        <w:rPr>
          <w:rFonts w:ascii="Arial Unicode MS" w:hAnsi="Arial Unicode MS" w:cs="Arial Unicode MS" w:eastAsia="Arial Unicode MS" w:hint="default"/>
          <w:sz w:val="19"/>
          <w:szCs w:val="19"/>
        </w:rPr>
      </w:r>
    </w:p>
    <w:p>
      <w:pPr>
        <w:spacing w:line="240" w:lineRule="auto" w:before="2"/>
        <w:ind w:right="0"/>
        <w:rPr>
          <w:rFonts w:ascii="Arial Unicode MS" w:hAnsi="Arial Unicode MS" w:cs="Arial Unicode MS" w:eastAsia="Arial Unicode MS" w:hint="default"/>
          <w:sz w:val="7"/>
          <w:szCs w:val="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494"/>
        <w:gridCol w:w="2494"/>
        <w:gridCol w:w="2494"/>
      </w:tblGrid>
      <w:tr>
        <w:trPr>
          <w:trHeight w:val="475" w:hRule="exact"/>
        </w:trPr>
        <w:tc>
          <w:tcPr>
            <w:tcW w:w="2494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3" w:lineRule="auto" w:before="35"/>
              <w:ind w:left="62" w:right="43" w:hanging="16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以风能为基础的解决方案和其他能 源解决方案 /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储存解决方案之模型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成本效率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再生能源整合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right="1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安全性 /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供应时机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475" w:hRule="exact"/>
        </w:trPr>
        <w:tc>
          <w:tcPr>
            <w:tcW w:w="2494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2"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共址计划、油电混和解决方案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3" w:lineRule="auto" w:before="37"/>
              <w:ind w:left="845" w:right="183" w:hanging="660"/>
              <w:jc w:val="left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降低 EPC( 工程总承 包 ) 成本 和电网分享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电网管理之改善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稳定的供应保证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475" w:hRule="exact"/>
        </w:trPr>
        <w:tc>
          <w:tcPr>
            <w:tcW w:w="2494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2"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补充解决方案 /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虚拟电厂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收益优化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避开使用电网的虚拟整合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依需求而弹性响应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475" w:hRule="exact"/>
        </w:trPr>
        <w:tc>
          <w:tcPr>
            <w:tcW w:w="2494" w:type="dxa"/>
            <w:tcBorders>
              <w:top w:val="single" w:sz="2" w:space="0" w:color="231F20"/>
              <w:left w:val="nil" w:sz="6" w:space="0" w:color="auto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30" w:lineRule="exact"/>
              <w:ind w:left="2"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财务解决方案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  <w:p>
            <w:pPr>
              <w:pStyle w:val="TableParagraph"/>
              <w:spacing w:line="178" w:lineRule="exact"/>
              <w:ind w:left="2" w:right="0"/>
              <w:jc w:val="center"/>
              <w:rPr>
                <w:rFonts w:ascii="Arial Unicode MS" w:hAnsi="Arial Unicode MS" w:cs="Arial Unicode MS" w:eastAsia="Arial Unicode MS" w:hint="default"/>
                <w:sz w:val="12"/>
                <w:szCs w:val="12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2"/>
                <w:szCs w:val="12"/>
              </w:rPr>
              <w:t>例如企业收购模式、利伯维尔场机制 /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pacing w:val="-7"/>
                <w:sz w:val="12"/>
                <w:szCs w:val="12"/>
              </w:rPr>
              <w:t> </w:t>
            </w:r>
            <w:r>
              <w:rPr>
                <w:rFonts w:ascii="Arial Unicode MS" w:hAnsi="Arial Unicode MS" w:cs="Arial Unicode MS" w:eastAsia="Arial Unicode MS" w:hint="default"/>
                <w:color w:val="231F20"/>
                <w:sz w:val="12"/>
                <w:szCs w:val="12"/>
              </w:rPr>
              <w:t>交易</w:t>
            </w:r>
            <w:r>
              <w:rPr>
                <w:rFonts w:ascii="Arial Unicode MS" w:hAnsi="Arial Unicode MS" w:cs="Arial Unicode MS" w:eastAsia="Arial Unicode MS" w:hint="default"/>
                <w:sz w:val="12"/>
                <w:szCs w:val="12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降低风险之工具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低成本诱因而增加风能比重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不相关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  <w:tr>
        <w:trPr>
          <w:trHeight w:val="475" w:hRule="exact"/>
        </w:trPr>
        <w:tc>
          <w:tcPr>
            <w:tcW w:w="2494" w:type="dxa"/>
            <w:tcBorders>
              <w:top w:val="single" w:sz="2" w:space="0" w:color="231F20"/>
              <w:left w:val="nil" w:sz="6" w:space="0" w:color="auto"/>
              <w:bottom w:val="single" w:sz="7" w:space="0" w:color="007F3E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2"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现场供应、离网解决方案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7" w:space="0" w:color="007F3E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市场批发价之替代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7" w:space="0" w:color="007F3E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不相关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  <w:tc>
          <w:tcPr>
            <w:tcW w:w="2494" w:type="dxa"/>
            <w:tcBorders>
              <w:top w:val="single" w:sz="2" w:space="0" w:color="231F20"/>
              <w:left w:val="single" w:sz="2" w:space="0" w:color="231F20"/>
              <w:bottom w:val="single" w:sz="7" w:space="0" w:color="007F3E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 w:hint="default"/>
                <w:color w:val="231F20"/>
                <w:sz w:val="16"/>
                <w:szCs w:val="16"/>
              </w:rPr>
              <w:t>因应需求而提供</w:t>
            </w:r>
            <w:r>
              <w:rPr>
                <w:rFonts w:ascii="Arial Unicode MS" w:hAnsi="Arial Unicode MS" w:cs="Arial Unicode MS" w:eastAsia="Arial Unicode MS" w:hint="default"/>
                <w:sz w:val="16"/>
                <w:szCs w:val="16"/>
              </w:rPr>
            </w:r>
          </w:p>
        </w:tc>
      </w:tr>
    </w:tbl>
    <w:p>
      <w:pPr>
        <w:spacing w:line="240" w:lineRule="auto" w:before="0"/>
        <w:ind w:right="0"/>
        <w:rPr>
          <w:rFonts w:ascii="Arial Unicode MS" w:hAnsi="Arial Unicode MS" w:cs="Arial Unicode MS" w:eastAsia="Arial Unicode MS" w:hint="default"/>
          <w:sz w:val="20"/>
          <w:szCs w:val="20"/>
        </w:rPr>
      </w:pPr>
    </w:p>
    <w:p>
      <w:pPr>
        <w:spacing w:line="240" w:lineRule="auto" w:before="17"/>
        <w:ind w:right="0"/>
        <w:rPr>
          <w:rFonts w:ascii="Arial Unicode MS" w:hAnsi="Arial Unicode MS" w:cs="Arial Unicode MS" w:eastAsia="Arial Unicode MS" w:hint="default"/>
          <w:sz w:val="21"/>
          <w:szCs w:val="21"/>
        </w:rPr>
      </w:pPr>
    </w:p>
    <w:p>
      <w:pPr>
        <w:spacing w:after="0" w:line="240" w:lineRule="auto"/>
        <w:rPr>
          <w:rFonts w:ascii="Arial Unicode MS" w:hAnsi="Arial Unicode MS" w:cs="Arial Unicode MS" w:eastAsia="Arial Unicode MS" w:hint="default"/>
          <w:sz w:val="21"/>
          <w:szCs w:val="21"/>
        </w:rPr>
        <w:sectPr>
          <w:pgSz w:w="11910" w:h="16160"/>
          <w:pgMar w:header="865" w:footer="793" w:top="1260" w:bottom="960" w:left="840" w:right="840"/>
        </w:sectPr>
      </w:pPr>
    </w:p>
    <w:p>
      <w:pPr>
        <w:pStyle w:val="BodyText"/>
        <w:spacing w:line="289" w:lineRule="exact"/>
        <w:ind w:right="-20"/>
        <w:jc w:val="left"/>
      </w:pPr>
      <w:r>
        <w:rPr>
          <w:color w:val="231F20"/>
        </w:rPr>
        <w:t>的重要性不会改变，且将持续展现风能</w:t>
      </w:r>
      <w:r>
        <w:rPr/>
      </w:r>
    </w:p>
    <w:p>
      <w:pPr>
        <w:pStyle w:val="BodyText"/>
        <w:spacing w:line="240" w:lineRule="auto" w:before="8"/>
        <w:ind w:right="-20"/>
        <w:jc w:val="left"/>
      </w:pPr>
      <w:r>
        <w:rPr>
          <w:color w:val="231F20"/>
        </w:rPr>
        <w:t>的进展。</w:t>
      </w:r>
      <w:r>
        <w:rPr/>
      </w:r>
    </w:p>
    <w:p>
      <w:pPr>
        <w:pStyle w:val="BodyText"/>
        <w:spacing w:line="247" w:lineRule="auto" w:before="8"/>
        <w:ind w:right="-20" w:firstLine="360"/>
        <w:jc w:val="left"/>
      </w:pPr>
      <w:r>
        <w:rPr>
          <w:color w:val="231F20"/>
        </w:rPr>
        <w:t>在 LCOE 的衡量下，风能已被证 明为最便宜的能源之一。随着能源工业 的转型范围正在扩大，风能现也证明可 提供最大的系统价值。这也提高对某些 价值的重视，包括了解能源的效率、整 合能源的方法，及供需时机。</w:t>
      </w:r>
      <w:r>
        <w:rPr/>
      </w:r>
    </w:p>
    <w:p>
      <w:pPr>
        <w:pStyle w:val="BodyText"/>
        <w:spacing w:line="247" w:lineRule="auto" w:before="1"/>
        <w:ind w:right="-20" w:firstLine="360"/>
        <w:jc w:val="left"/>
      </w:pPr>
      <w:r>
        <w:rPr>
          <w:color w:val="231F20"/>
        </w:rPr>
        <w:t>类似于 LCOE 的发展，风能产业 正寻找正确的公式及指针来衡量价值并 进行比较 ( 例如国际能源署的价值调整 后均化发电成本 </w:t>
      </w:r>
      <w:r>
        <w:rPr>
          <w:color w:val="231F20"/>
          <w:spacing w:val="30"/>
        </w:rPr>
        <w:t> </w:t>
      </w:r>
      <w:r>
        <w:rPr>
          <w:color w:val="231F20"/>
        </w:rPr>
        <w:t>VALCOE1)。对于深</w:t>
      </w:r>
      <w:r>
        <w:rPr/>
      </w:r>
    </w:p>
    <w:p>
      <w:pPr>
        <w:pStyle w:val="BodyText"/>
        <w:spacing w:line="289" w:lineRule="exact"/>
        <w:ind w:right="-20"/>
        <w:jc w:val="left"/>
      </w:pPr>
      <w:r>
        <w:rPr/>
        <w:br w:type="column"/>
      </w:r>
      <w:r>
        <w:rPr>
          <w:color w:val="231F20"/>
        </w:rPr>
        <w:t>入了解价值提供及允许无偏见比较，通</w:t>
      </w:r>
      <w:r>
        <w:rPr/>
      </w:r>
    </w:p>
    <w:p>
      <w:pPr>
        <w:pStyle w:val="BodyText"/>
        <w:spacing w:line="240" w:lineRule="auto" w:before="8"/>
        <w:ind w:right="-20"/>
        <w:jc w:val="left"/>
      </w:pPr>
      <w:r>
        <w:rPr>
          <w:color w:val="231F20"/>
        </w:rPr>
        <w:t>用指标的认同相当重要。</w:t>
      </w:r>
      <w:r>
        <w:rPr/>
      </w:r>
    </w:p>
    <w:p>
      <w:pPr>
        <w:pStyle w:val="BodyText"/>
        <w:spacing w:line="247" w:lineRule="auto" w:before="8"/>
        <w:ind w:right="-20" w:firstLine="360"/>
        <w:jc w:val="left"/>
      </w:pPr>
      <w:r>
        <w:rPr>
          <w:color w:val="231F20"/>
        </w:rPr>
        <w:t>LCOE 和成本不会失去关联性。 成本与价值的链接是能源转型的重要一 环。它不仅使风能能够证明其在过去几 十年中为主要再生能源的成就，还能让 风能产业被定义为提升价值的解决方 案。</w:t>
      </w:r>
      <w:r>
        <w:rPr/>
      </w:r>
    </w:p>
    <w:p>
      <w:pPr>
        <w:pStyle w:val="BodyText"/>
        <w:spacing w:line="315" w:lineRule="exact"/>
        <w:ind w:left="483" w:right="-20"/>
        <w:jc w:val="left"/>
        <w:rPr>
          <w:rFonts w:ascii="Arial Unicode MS" w:hAnsi="Arial Unicode MS" w:cs="Arial Unicode MS" w:eastAsia="Arial Unicode MS" w:hint="default"/>
        </w:rPr>
      </w:pPr>
      <w:r>
        <w:rPr>
          <w:rFonts w:ascii="Arial Unicode MS" w:hAnsi="Arial Unicode MS" w:cs="Arial Unicode MS" w:eastAsia="Arial Unicode MS" w:hint="default"/>
          <w:color w:val="231F20"/>
        </w:rPr>
        <w:t>能源转型期间的挑战</w:t>
      </w:r>
      <w:r>
        <w:rPr>
          <w:rFonts w:ascii="Arial Unicode MS" w:hAnsi="Arial Unicode MS" w:cs="Arial Unicode MS" w:eastAsia="Arial Unicode MS" w:hint="default"/>
        </w:rPr>
      </w:r>
    </w:p>
    <w:p>
      <w:pPr>
        <w:pStyle w:val="BodyText"/>
        <w:spacing w:line="247" w:lineRule="auto" w:before="10"/>
        <w:ind w:right="0" w:firstLine="360"/>
        <w:jc w:val="both"/>
      </w:pPr>
      <w:r>
        <w:rPr>
          <w:color w:val="231F20"/>
        </w:rPr>
        <w:t>解决方案的开发是能源转型过程中 的重要一环。由于其成本竞争力、易于 装置及可拓展性，风能在能源发展中扮</w:t>
      </w:r>
      <w:r>
        <w:rPr/>
      </w:r>
    </w:p>
    <w:p>
      <w:pPr>
        <w:pStyle w:val="BodyText"/>
        <w:spacing w:line="289" w:lineRule="exact"/>
        <w:ind w:right="0"/>
        <w:jc w:val="left"/>
      </w:pPr>
      <w:r>
        <w:rPr/>
        <w:br w:type="column"/>
      </w:r>
      <w:r>
        <w:rPr>
          <w:color w:val="231F20"/>
        </w:rPr>
        <w:t>演了重要角色。新解决方案有潜能可释</w:t>
      </w:r>
      <w:r>
        <w:rPr/>
      </w:r>
    </w:p>
    <w:p>
      <w:pPr>
        <w:pStyle w:val="BodyText"/>
        <w:spacing w:line="247" w:lineRule="auto" w:before="8"/>
        <w:ind w:right="181"/>
        <w:jc w:val="left"/>
      </w:pPr>
      <w:r>
        <w:rPr/>
        <w:pict>
          <v:shape style="position:absolute;margin-left:435.235992pt;margin-top:151.832535pt;width:17.259pt;height:8.8863pt;mso-position-horizontal-relative:page;mso-position-vertical-relative:paragraph;z-index:-10096" type="#_x0000_t75" stroked="false">
            <v:imagedata r:id="rId13" o:title=""/>
          </v:shape>
        </w:pict>
      </w:r>
      <w:r>
        <w:rPr>
          <w:color w:val="231F20"/>
        </w:rPr>
        <w:t>放更多电量，或采取更积极的观点， 甚至彻底改变风能产业的经营方式。 这种发展的背后关键驱动因素是持续的 数字化管理。借由更好的资产管理及改 善维护等的技术提高可达到能源年产出 增加，从而实现更好的风险管理。所以 提高效率意味着能源系统的价值提高。 加上整合其他相关元素 ( 如降低储存成 本 )，风能解决方案将会在接下来几年 持续发展。</w:t>
      </w:r>
      <w:r>
        <w:rPr/>
      </w:r>
    </w:p>
    <w:sectPr>
      <w:type w:val="continuous"/>
      <w:pgSz w:w="11910" w:h="16160"/>
      <w:pgMar w:top="1240" w:bottom="980" w:left="840" w:right="840"/>
      <w:cols w:num="3" w:equalWidth="0">
        <w:col w:w="3184" w:space="236"/>
        <w:col w:w="3184" w:space="236"/>
        <w:col w:w="33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.2463pt;margin-top:757.242676pt;width:81.150pt;height:10pt;mso-position-horizontal-relative:page;mso-position-vertical-relative:page;z-index:-10096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 w:hint="default"/>
                    <w:sz w:val="16"/>
                    <w:szCs w:val="16"/>
                  </w:rPr>
                </w:pPr>
                <w:r>
                  <w:rPr>
                    <w:rFonts w:ascii="Arial Unicode MS" w:hAnsi="Arial Unicode MS" w:cs="Arial Unicode MS" w:eastAsia="Arial Unicode MS" w:hint="default"/>
                    <w:color w:val="231F20"/>
                    <w:w w:val="105"/>
                    <w:sz w:val="16"/>
                    <w:szCs w:val="16"/>
                  </w:rPr>
                  <w:t>金属板材成形</w:t>
                </w:r>
                <w:r>
                  <w:rPr>
                    <w:rFonts w:ascii="Arial Unicode MS" w:hAnsi="Arial Unicode MS" w:cs="Arial Unicode MS" w:eastAsia="Arial Unicode MS" w:hint="default"/>
                    <w:color w:val="231F20"/>
                    <w:spacing w:val="13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 Unicode MS" w:hAnsi="Arial Unicode MS" w:cs="Arial Unicode MS" w:eastAsia="Arial Unicode MS" w:hint="default"/>
                    <w:color w:val="231F20"/>
                    <w:w w:val="105"/>
                    <w:sz w:val="16"/>
                    <w:szCs w:val="16"/>
                  </w:rPr>
                  <w:t>2019.7</w:t>
                </w:r>
                <w:r>
                  <w:rPr>
                    <w:rFonts w:ascii="Arial Unicode MS" w:hAnsi="Arial Unicode MS" w:cs="Arial Unicode MS" w:eastAsia="Arial Unicode MS" w:hint="default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7.019012pt;margin-top:758.092957pt;width:81.150pt;height:10pt;mso-position-horizontal-relative:page;mso-position-vertical-relative:page;z-index:-10072" type="#_x0000_t202" filled="false" stroked="false">
          <v:textbox inset="0,0,0,0">
            <w:txbxContent>
              <w:p>
                <w:pPr>
                  <w:spacing w:line="188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 w:hint="default"/>
                    <w:sz w:val="16"/>
                    <w:szCs w:val="16"/>
                  </w:rPr>
                </w:pPr>
                <w:r>
                  <w:rPr>
                    <w:rFonts w:ascii="Arial Unicode MS" w:hAnsi="Arial Unicode MS" w:cs="Arial Unicode MS" w:eastAsia="Arial Unicode MS" w:hint="default"/>
                    <w:color w:val="231F20"/>
                    <w:w w:val="105"/>
                    <w:sz w:val="16"/>
                    <w:szCs w:val="16"/>
                  </w:rPr>
                  <w:t>2019.7</w:t>
                </w:r>
                <w:r>
                  <w:rPr>
                    <w:rFonts w:ascii="Arial Unicode MS" w:hAnsi="Arial Unicode MS" w:cs="Arial Unicode MS" w:eastAsia="Arial Unicode MS" w:hint="default"/>
                    <w:color w:val="231F20"/>
                    <w:spacing w:val="13"/>
                    <w:w w:val="105"/>
                    <w:sz w:val="16"/>
                    <w:szCs w:val="16"/>
                  </w:rPr>
                  <w:t> </w:t>
                </w:r>
                <w:r>
                  <w:rPr>
                    <w:rFonts w:ascii="Arial Unicode MS" w:hAnsi="Arial Unicode MS" w:cs="Arial Unicode MS" w:eastAsia="Arial Unicode MS" w:hint="default"/>
                    <w:color w:val="231F20"/>
                    <w:w w:val="105"/>
                    <w:sz w:val="16"/>
                    <w:szCs w:val="16"/>
                  </w:rPr>
                  <w:t>金属板材成形</w:t>
                </w:r>
                <w:r>
                  <w:rPr>
                    <w:rFonts w:ascii="Arial Unicode MS" w:hAnsi="Arial Unicode MS" w:cs="Arial Unicode MS" w:eastAsia="Arial Unicode MS" w:hint="default"/>
                    <w:w w:val="105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6.864998pt;margin-top:43.856022pt;width:.1pt;height:15.25pt;mso-position-horizontal-relative:page;mso-position-vertical-relative:page;z-index:-10288" coordorigin="1737,877" coordsize="2,305">
          <v:shape style="position:absolute;left:1737;top:877;width:2;height:305" coordorigin="1737,877" coordsize="0,305" path="m1737,877l1737,1182e" filled="false" stroked="true" strokeweight=".25pt" strokecolor="#231f20">
            <v:path arrowok="t"/>
          </v:shape>
          <w10:wrap type="none"/>
        </v:group>
      </w:pict>
    </w:r>
    <w:r>
      <w:rPr/>
      <w:pict>
        <v:group style="position:absolute;margin-left:49.549pt;margin-top:62.645023pt;width:492.9pt;height:.1pt;mso-position-horizontal-relative:page;mso-position-vertical-relative:page;z-index:-10264" coordorigin="991,1253" coordsize="9858,2">
          <v:shape style="position:absolute;left:991;top:1253;width:9858;height:2" coordorigin="991,1253" coordsize="9858,0" path="m991,1253l10849,1253e" filled="false" stroked="true" strokeweight=".5pt" strokecolor="#231f2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549pt;margin-top:42.256863pt;width:25.9pt;height:20pt;mso-position-horizontal-relative:page;mso-position-vertical-relative:page;z-index:-10240" type="#_x0000_t202" filled="false" stroked="false">
          <v:textbox inset="0,0,0,0">
            <w:txbxContent>
              <w:p>
                <w:pPr>
                  <w:spacing w:line="399" w:lineRule="exact" w:before="0"/>
                  <w:ind w:left="40" w:right="0" w:firstLine="0"/>
                  <w:jc w:val="left"/>
                  <w:rPr>
                    <w:rFonts w:ascii="Arial Unicode MS" w:hAnsi="Arial Unicode MS" w:cs="Arial Unicode MS" w:eastAsia="Arial Unicode MS" w:hint="default"/>
                    <w:sz w:val="36"/>
                    <w:szCs w:val="36"/>
                  </w:rPr>
                </w:pPr>
                <w:r>
                  <w:rPr>
                    <w:rFonts w:ascii="Arial Unicode MS"/>
                    <w:color w:val="007F3E"/>
                    <w:w w:val="118"/>
                    <w:sz w:val="36"/>
                  </w:rPr>
                </w:r>
                <w:r>
                  <w:rPr/>
                  <w:fldChar w:fldCharType="begin"/>
                </w:r>
                <w:r>
                  <w:rPr>
                    <w:rFonts w:ascii="Arial Unicode MS"/>
                    <w:color w:val="007F3E"/>
                    <w:w w:val="115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Arial Unicode MS"/>
                    <w:color w:val="007F3E"/>
                    <w:spacing w:val="-18"/>
                    <w:w w:val="115"/>
                    <w:sz w:val="36"/>
                  </w:rPr>
                </w:r>
                <w:r>
                  <w:rPr>
                    <w:rFonts w:ascii="Arial Unicode MS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3.6772pt;margin-top:49.128384pt;width:90.55pt;height:14pt;mso-position-horizontal-relative:page;mso-position-vertical-relative:page;z-index:-10216" type="#_x0000_t202" filled="false" stroked="false">
          <v:textbox inset="0,0,0,0">
            <w:txbxContent>
              <w:p>
                <w:pPr>
                  <w:spacing w:line="273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 w:hint="default"/>
                    <w:sz w:val="24"/>
                    <w:szCs w:val="24"/>
                  </w:rPr>
                </w:pPr>
                <w:r>
                  <w:rPr>
                    <w:rFonts w:ascii="Arial Unicode MS" w:hAnsi="Arial Unicode MS" w:cs="Arial Unicode MS" w:eastAsia="Arial Unicode MS" w:hint="default"/>
                    <w:color w:val="231F20"/>
                    <w:w w:val="105"/>
                    <w:sz w:val="24"/>
                    <w:szCs w:val="24"/>
                  </w:rPr>
                  <w:t>FEATURE</w:t>
                </w:r>
                <w:r>
                  <w:rPr>
                    <w:rFonts w:ascii="Arial Unicode MS" w:hAnsi="Arial Unicode MS" w:cs="Arial Unicode MS" w:eastAsia="Arial Unicode MS" w:hint="default"/>
                    <w:color w:val="231F20"/>
                    <w:spacing w:val="20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 w:hint="default"/>
                    <w:color w:val="231F20"/>
                    <w:w w:val="105"/>
                    <w:sz w:val="24"/>
                    <w:szCs w:val="24"/>
                  </w:rPr>
                  <w:t>专题</w:t>
                </w:r>
                <w:r>
                  <w:rPr>
                    <w:rFonts w:ascii="Arial Unicode MS" w:hAnsi="Arial Unicode MS" w:cs="Arial Unicode MS" w:eastAsia="Arial Unicode MS" w:hint="default"/>
                    <w:w w:val="105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2.632019pt;margin-top:46.852024pt;width:.1pt;height:15.25pt;mso-position-horizontal-relative:page;mso-position-vertical-relative:page;z-index:-10192" coordorigin="10253,937" coordsize="2,305">
          <v:shape style="position:absolute;left:10253;top:937;width:2;height:305" coordorigin="10253,937" coordsize="0,305" path="m10253,937l10253,1242e" filled="false" stroked="true" strokeweight=".25pt" strokecolor="#231f20">
            <v:path arrowok="t"/>
          </v:shape>
          <w10:wrap type="none"/>
        </v:group>
      </w:pict>
    </w:r>
    <w:r>
      <w:rPr/>
      <w:pict>
        <v:group style="position:absolute;margin-left:53.491001pt;margin-top:63.355022pt;width:492.9pt;height:.1pt;mso-position-horizontal-relative:page;mso-position-vertical-relative:page;z-index:-10168" coordorigin="1070,1267" coordsize="9858,2">
          <v:shape style="position:absolute;left:1070;top:1267;width:9858;height:2" coordorigin="1070,1267" coordsize="9858,0" path="m1070,1267l10928,1267e" filled="false" stroked="true" strokeweight=".5pt" strokecolor="#231f20">
            <v:path arrowok="t"/>
          </v:shape>
          <w10:wrap type="none"/>
        </v:group>
      </w:pict>
    </w:r>
    <w:r>
      <w:rPr/>
      <w:pict>
        <v:shape style="position:absolute;margin-left:516.459778pt;margin-top:42.418163pt;width:25.85pt;height:20pt;mso-position-horizontal-relative:page;mso-position-vertical-relative:page;z-index:-10144" type="#_x0000_t202" filled="false" stroked="false">
          <v:textbox inset="0,0,0,0">
            <w:txbxContent>
              <w:p>
                <w:pPr>
                  <w:spacing w:line="399" w:lineRule="exact" w:before="0"/>
                  <w:ind w:left="40" w:right="0" w:firstLine="0"/>
                  <w:jc w:val="left"/>
                  <w:rPr>
                    <w:rFonts w:ascii="Arial Unicode MS" w:hAnsi="Arial Unicode MS" w:cs="Arial Unicode MS" w:eastAsia="Arial Unicode MS" w:hint="default"/>
                    <w:sz w:val="36"/>
                    <w:szCs w:val="36"/>
                  </w:rPr>
                </w:pPr>
                <w:r>
                  <w:rPr>
                    <w:rFonts w:ascii="Arial Unicode MS"/>
                    <w:color w:val="007F3E"/>
                    <w:w w:val="117"/>
                    <w:sz w:val="36"/>
                  </w:rPr>
                </w:r>
                <w:r>
                  <w:rPr/>
                  <w:fldChar w:fldCharType="begin"/>
                </w:r>
                <w:r>
                  <w:rPr>
                    <w:rFonts w:ascii="Arial Unicode MS"/>
                    <w:color w:val="007F3E"/>
                    <w:w w:val="115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Arial Unicode MS"/>
                    <w:color w:val="007F3E"/>
                    <w:spacing w:val="-18"/>
                    <w:w w:val="115"/>
                    <w:sz w:val="36"/>
                  </w:rPr>
                </w:r>
                <w:r>
                  <w:rPr>
                    <w:rFonts w:ascii="Arial Unicode MS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5.408112pt;margin-top:47.919785pt;width:90.55pt;height:14pt;mso-position-horizontal-relative:page;mso-position-vertical-relative:page;z-index:-10120" type="#_x0000_t202" filled="false" stroked="false">
          <v:textbox inset="0,0,0,0">
            <w:txbxContent>
              <w:p>
                <w:pPr>
                  <w:spacing w:line="273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 w:hint="default"/>
                    <w:sz w:val="24"/>
                    <w:szCs w:val="24"/>
                  </w:rPr>
                </w:pPr>
                <w:r>
                  <w:rPr>
                    <w:rFonts w:ascii="Arial Unicode MS" w:hAnsi="Arial Unicode MS" w:cs="Arial Unicode MS" w:eastAsia="Arial Unicode MS" w:hint="default"/>
                    <w:color w:val="231F20"/>
                    <w:w w:val="105"/>
                    <w:sz w:val="24"/>
                    <w:szCs w:val="24"/>
                  </w:rPr>
                  <w:t>FEATURE</w:t>
                </w:r>
                <w:r>
                  <w:rPr>
                    <w:rFonts w:ascii="Arial Unicode MS" w:hAnsi="Arial Unicode MS" w:cs="Arial Unicode MS" w:eastAsia="Arial Unicode MS" w:hint="default"/>
                    <w:color w:val="231F20"/>
                    <w:spacing w:val="20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 w:hint="default"/>
                    <w:color w:val="231F20"/>
                    <w:w w:val="105"/>
                    <w:sz w:val="24"/>
                    <w:szCs w:val="24"/>
                  </w:rPr>
                  <w:t>专题</w:t>
                </w:r>
                <w:r>
                  <w:rPr>
                    <w:rFonts w:ascii="Arial Unicode MS" w:hAnsi="Arial Unicode MS" w:cs="Arial Unicode MS" w:eastAsia="Arial Unicode MS" w:hint="default"/>
                    <w:w w:val="105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/>
    </w:pPr>
    <w:rPr>
      <w:rFonts w:ascii="Arial Unicode MS" w:hAnsi="Arial Unicode MS" w:eastAsia="Arial Unicode MS"/>
      <w:sz w:val="18"/>
      <w:szCs w:val="18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 Unicode MS" w:hAnsi="Arial Unicode MS" w:eastAsia="Arial Unicode MS"/>
      <w:sz w:val="22"/>
      <w:szCs w:val="22"/>
    </w:rPr>
  </w:style>
  <w:style w:styleId="Heading2" w:type="paragraph">
    <w:name w:val="Heading 2"/>
    <w:basedOn w:val="Normal"/>
    <w:uiPriority w:val="1"/>
    <w:qFormat/>
    <w:pPr>
      <w:ind w:left="223"/>
      <w:outlineLvl w:val="2"/>
    </w:pPr>
    <w:rPr>
      <w:rFonts w:ascii="Arial Unicode MS" w:hAnsi="Arial Unicode MS" w:eastAsia="Arial Unicode M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2019-08-16T15:53:56Z</dcterms:created>
  <dcterms:modified xsi:type="dcterms:W3CDTF">2019-08-16T15:53:56Z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2019-08-16T00:00:00Z</vt:filetime>
  </property>
</Properties>
</file>